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5"/>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both"/>
        <w:outlineLvl w:val="0"/>
        <w:rPr>
          <w:rFonts w:hint="eastAsia" w:ascii="方正小标宋简体" w:hAnsi="方正小标宋简体" w:eastAsia="方正小标宋简体" w:cs="方正小标宋简体"/>
          <w:sz w:val="52"/>
          <w:szCs w:val="52"/>
        </w:rPr>
      </w:pPr>
      <w:bookmarkStart w:id="1" w:name="_Toc15396475"/>
      <w:bookmarkStart w:id="2" w:name="_Toc15377425"/>
      <w:bookmarkStart w:id="3" w:name="_Toc15377193"/>
      <w:bookmarkStart w:id="4" w:name="_Toc15396597"/>
      <w:bookmarkStart w:id="5" w:name="_Toc15378441"/>
    </w:p>
    <w:p>
      <w:pPr>
        <w:adjustRightInd w:val="0"/>
        <w:snapToGrid w:val="0"/>
        <w:spacing w:line="360" w:lineRule="auto"/>
        <w:jc w:val="center"/>
        <w:outlineLvl w:val="0"/>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2023年度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84"/>
          <w:szCs w:val="84"/>
          <w:lang w:val="en-US" w:eastAsia="zh-CN"/>
        </w:rPr>
      </w:pPr>
      <w:bookmarkStart w:id="6" w:name="_Toc15396476"/>
      <w:bookmarkStart w:id="7" w:name="_Toc15377194"/>
      <w:bookmarkStart w:id="8" w:name="_Toc15378442"/>
      <w:bookmarkStart w:id="9" w:name="_Toc15377426"/>
      <w:bookmarkStart w:id="10" w:name="_Toc15396598"/>
      <w:r>
        <w:rPr>
          <w:rFonts w:hint="eastAsia" w:ascii="方正小标宋简体" w:hAnsi="方正小标宋简体" w:eastAsia="方正小标宋简体" w:cs="方正小标宋简体"/>
          <w:sz w:val="84"/>
          <w:szCs w:val="84"/>
        </w:rPr>
        <w:t>四川省</w:t>
      </w:r>
      <w:bookmarkEnd w:id="0"/>
      <w:bookmarkStart w:id="11" w:name="_Toc15306268"/>
      <w:r>
        <w:rPr>
          <w:rFonts w:hint="eastAsia" w:ascii="方正小标宋简体" w:hAnsi="方正小标宋简体" w:eastAsia="方正小标宋简体" w:cs="方正小标宋简体"/>
          <w:sz w:val="84"/>
          <w:szCs w:val="84"/>
          <w:lang w:val="en-US" w:eastAsia="zh-CN"/>
        </w:rPr>
        <w:t>泸县实验学校</w:t>
      </w:r>
    </w:p>
    <w:p>
      <w:pPr>
        <w:adjustRightInd w:val="0"/>
        <w:snapToGrid w:val="0"/>
        <w:spacing w:line="360" w:lineRule="auto"/>
        <w:jc w:val="center"/>
        <w:outlineLvl w:val="0"/>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rPr>
        <w:t>单位决算</w:t>
      </w:r>
      <w:bookmarkEnd w:id="6"/>
      <w:bookmarkEnd w:id="7"/>
      <w:bookmarkEnd w:id="8"/>
      <w:bookmarkEnd w:id="9"/>
      <w:bookmarkEnd w:id="10"/>
      <w:bookmarkEnd w:id="11"/>
      <w:r>
        <w:rPr>
          <w:rFonts w:hint="eastAsia" w:ascii="方正小标宋简体" w:hAnsi="方正小标宋简体" w:eastAsia="方正小标宋简体" w:cs="方正小标宋简体"/>
          <w:sz w:val="84"/>
          <w:szCs w:val="84"/>
          <w:lang w:eastAsia="zh-CN"/>
        </w:rPr>
        <w:t>编制说明</w:t>
      </w:r>
    </w:p>
    <w:p>
      <w:pPr>
        <w:widowControl/>
        <w:jc w:val="center"/>
        <w:rPr>
          <w:rFonts w:ascii="黑体" w:hAnsi="黑体" w:eastAsia="黑体"/>
          <w:sz w:val="48"/>
          <w:szCs w:val="48"/>
        </w:rPr>
      </w:pPr>
      <w:bookmarkStart w:id="67" w:name="_GoBack"/>
      <w:bookmarkEnd w:id="67"/>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公开时间：2023年9月</w:t>
      </w:r>
      <w:r>
        <w:rPr>
          <w:rFonts w:hint="eastAsia"/>
          <w:lang w:val="en-US" w:eastAsia="zh-CN"/>
        </w:rPr>
        <w:t>27</w:t>
      </w:r>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2"/>
        <w:adjustRightInd w:val="0"/>
        <w:snapToGrid w:val="0"/>
        <w:spacing w:line="440" w:lineRule="exact"/>
        <w:jc w:val="left"/>
        <w:rPr>
          <w:sz w:val="24"/>
        </w:rPr>
      </w:pPr>
      <w:r>
        <w:rPr>
          <w:rFonts w:hint="eastAsia"/>
          <w:sz w:val="24"/>
        </w:rPr>
        <w:t>一、主要职责</w:t>
      </w:r>
    </w:p>
    <w:p>
      <w:pPr>
        <w:pStyle w:val="12"/>
        <w:adjustRightInd w:val="0"/>
        <w:snapToGrid w:val="0"/>
        <w:spacing w:line="440" w:lineRule="exact"/>
        <w:jc w:val="left"/>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 2023年度单位决算情况说明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jc w:val="left"/>
        <w:rPr>
          <w:sz w:val="24"/>
        </w:rPr>
      </w:pPr>
      <w:r>
        <w:rPr>
          <w:rFonts w:hint="eastAsia"/>
          <w:sz w:val="24"/>
        </w:rPr>
        <w:t>九、国有资本经营预算支出决算情况说明</w:t>
      </w:r>
    </w:p>
    <w:p>
      <w:pPr>
        <w:pStyle w:val="12"/>
        <w:adjustRightInd w:val="0"/>
        <w:snapToGrid w:val="0"/>
        <w:spacing w:line="440" w:lineRule="exact"/>
        <w:jc w:val="left"/>
        <w:rPr>
          <w:sz w:val="24"/>
        </w:rPr>
      </w:pPr>
      <w:r>
        <w:rPr>
          <w:rFonts w:hint="eastAsia"/>
          <w:sz w:val="24"/>
        </w:rPr>
        <w:t>十、其他重要事项的情况说明</w:t>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八、一般公共预算财政拨款基本支出决算明细表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十、政府性基金预算财政拨款收入支出决算表</w:t>
      </w:r>
    </w:p>
    <w:p>
      <w:pPr>
        <w:pStyle w:val="12"/>
        <w:adjustRightInd w:val="0"/>
        <w:snapToGrid w:val="0"/>
        <w:spacing w:line="440" w:lineRule="exact"/>
        <w:jc w:val="left"/>
        <w:rPr>
          <w:sz w:val="24"/>
        </w:rPr>
      </w:pPr>
      <w:r>
        <w:rPr>
          <w:rFonts w:hint="eastAsia"/>
          <w:sz w:val="24"/>
        </w:rPr>
        <w:t>十一、国有资本经营预算财政拨款收入支出决算表</w:t>
      </w:r>
    </w:p>
    <w:p>
      <w:pPr>
        <w:pStyle w:val="12"/>
        <w:adjustRightInd w:val="0"/>
        <w:snapToGrid w:val="0"/>
        <w:spacing w:line="440" w:lineRule="exact"/>
        <w:jc w:val="left"/>
        <w:rPr>
          <w:sz w:val="24"/>
        </w:rPr>
      </w:pPr>
      <w:r>
        <w:rPr>
          <w:rFonts w:hint="eastAsia"/>
          <w:sz w:val="24"/>
        </w:rPr>
        <w:t>十二、国有资本经营预算财政拨款支出决算表</w:t>
      </w:r>
    </w:p>
    <w:p>
      <w:pPr>
        <w:pStyle w:val="12"/>
        <w:adjustRightInd w:val="0"/>
        <w:snapToGrid w:val="0"/>
        <w:spacing w:line="440" w:lineRule="exact"/>
        <w:jc w:val="left"/>
        <w:rPr>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3"/>
        <w:numPr>
          <w:ilvl w:val="0"/>
          <w:numId w:val="1"/>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pPr>
        <w:pStyle w:val="26"/>
        <w:ind w:left="739" w:leftChars="352" w:firstLine="0" w:firstLineChars="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正确贯彻执行党和国家的教育方针、政策、法规。</w:t>
      </w:r>
      <w:r>
        <w:rPr>
          <w:rFonts w:hint="eastAsia" w:ascii="仿宋" w:hAnsi="仿宋" w:eastAsia="仿宋"/>
          <w:sz w:val="32"/>
          <w:szCs w:val="32"/>
        </w:rPr>
        <w:br w:type="textWrapping"/>
      </w:r>
      <w:r>
        <w:rPr>
          <w:rFonts w:hint="eastAsia" w:ascii="仿宋" w:hAnsi="仿宋" w:eastAsia="仿宋"/>
          <w:sz w:val="32"/>
          <w:szCs w:val="32"/>
          <w:lang w:val="en-US" w:eastAsia="zh-CN"/>
        </w:rPr>
        <w:t>2.</w:t>
      </w:r>
      <w:r>
        <w:rPr>
          <w:rFonts w:hint="eastAsia" w:ascii="仿宋" w:hAnsi="仿宋" w:eastAsia="仿宋"/>
          <w:sz w:val="32"/>
          <w:szCs w:val="32"/>
        </w:rPr>
        <w:t>维护学校的教学秩序，为学生创造良好的学习环境；</w:t>
      </w:r>
    </w:p>
    <w:p>
      <w:pPr>
        <w:pStyle w:val="26"/>
        <w:ind w:left="420" w:leftChars="200" w:firstLine="320" w:firstLineChars="1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积极稳妥地推进教育改革，按</w:t>
      </w:r>
      <w:r>
        <w:fldChar w:fldCharType="begin"/>
      </w:r>
      <w:r>
        <w:instrText xml:space="preserve"> HYPERLINK "https://www.baidu.com/s?wd=%E6%95%99%E8%82%B2%E8%A7%84%E5%BE%8B&amp;tn=SE_PcZhidaonwhc_ngpagmjz&amp;rsv_dl=gh_pc_zhidao" \t "https://zhidao.baidu.com/question/_blank" </w:instrText>
      </w:r>
      <w:r>
        <w:fldChar w:fldCharType="separate"/>
      </w:r>
      <w:r>
        <w:rPr>
          <w:rFonts w:ascii="仿宋" w:hAnsi="仿宋" w:eastAsia="仿宋"/>
          <w:sz w:val="32"/>
          <w:szCs w:val="32"/>
        </w:rPr>
        <w:t>教育规律</w:t>
      </w:r>
      <w:r>
        <w:rPr>
          <w:rFonts w:ascii="仿宋" w:hAnsi="仿宋" w:eastAsia="仿宋"/>
          <w:sz w:val="32"/>
          <w:szCs w:val="32"/>
        </w:rPr>
        <w:fldChar w:fldCharType="end"/>
      </w:r>
      <w:r>
        <w:rPr>
          <w:rFonts w:hint="eastAsia" w:ascii="仿宋" w:hAnsi="仿宋" w:eastAsia="仿宋"/>
          <w:sz w:val="32"/>
          <w:szCs w:val="32"/>
        </w:rPr>
        <w:t>办事，不断提高</w:t>
      </w:r>
      <w:r>
        <w:fldChar w:fldCharType="begin"/>
      </w:r>
      <w:r>
        <w:instrText xml:space="preserve"> HYPERLINK "https://www.baidu.com/s?wd=%E6%95%99%E8%82%B2%E8%B4%A8%E9%87%8F&amp;tn=SE_PcZhidaonwhc_ngpagmjz&amp;rsv_dl=gh_pc_zhidao" \t "https://zhidao.baidu.com/question/_blank" </w:instrText>
      </w:r>
      <w:r>
        <w:fldChar w:fldCharType="separate"/>
      </w:r>
      <w:r>
        <w:rPr>
          <w:rFonts w:ascii="仿宋" w:hAnsi="仿宋" w:eastAsia="仿宋"/>
          <w:sz w:val="32"/>
          <w:szCs w:val="32"/>
        </w:rPr>
        <w:t>教育质量</w:t>
      </w:r>
      <w:r>
        <w:rPr>
          <w:rFonts w:ascii="仿宋" w:hAnsi="仿宋" w:eastAsia="仿宋"/>
          <w:sz w:val="32"/>
          <w:szCs w:val="32"/>
        </w:rPr>
        <w:fldChar w:fldCharType="end"/>
      </w:r>
      <w:r>
        <w:rPr>
          <w:rFonts w:hint="eastAsia" w:ascii="仿宋" w:hAnsi="仿宋" w:eastAsia="仿宋"/>
          <w:sz w:val="32"/>
          <w:szCs w:val="32"/>
        </w:rPr>
        <w:t>；</w:t>
      </w:r>
    </w:p>
    <w:p>
      <w:pPr>
        <w:pStyle w:val="26"/>
        <w:ind w:left="420" w:leftChars="200" w:firstLine="320" w:firstLineChars="1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根据学校规模，设置学校管理机构，建立健全各项规章制度和</w:t>
      </w:r>
      <w:r>
        <w:fldChar w:fldCharType="begin"/>
      </w:r>
      <w:r>
        <w:instrText xml:space="preserve"> HYPERLINK "https://www.baidu.com/s?wd=%E5%B2%97%E4%BD%8D%E8%B4%A3%E4%BB%BB%E5%88%B6&amp;tn=SE_PcZhidaonwhc_ngpagmjz&amp;rsv_dl=gh_pc_zhidao" \t "https://zhidao.baidu.com/question/_blank" </w:instrText>
      </w:r>
      <w:r>
        <w:fldChar w:fldCharType="separate"/>
      </w:r>
      <w:r>
        <w:rPr>
          <w:rFonts w:ascii="仿宋" w:hAnsi="仿宋" w:eastAsia="仿宋"/>
          <w:sz w:val="32"/>
          <w:szCs w:val="32"/>
        </w:rPr>
        <w:t>岗位责任制</w:t>
      </w:r>
      <w:r>
        <w:rPr>
          <w:rFonts w:ascii="仿宋" w:hAnsi="仿宋" w:eastAsia="仿宋"/>
          <w:sz w:val="32"/>
          <w:szCs w:val="32"/>
        </w:rPr>
        <w:fldChar w:fldCharType="end"/>
      </w:r>
      <w:r>
        <w:rPr>
          <w:rFonts w:hint="eastAsia" w:ascii="仿宋" w:hAnsi="仿宋" w:eastAsia="仿宋"/>
          <w:sz w:val="32"/>
          <w:szCs w:val="32"/>
        </w:rPr>
        <w:t>。</w:t>
      </w:r>
    </w:p>
    <w:p>
      <w:pPr>
        <w:pStyle w:val="26"/>
        <w:ind w:left="420" w:leftChars="200" w:firstLine="320" w:firstLineChars="1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坚持教书育人，服务育人，环境育人方针，加强对学生的</w:t>
      </w:r>
      <w:r>
        <w:fldChar w:fldCharType="begin"/>
      </w:r>
      <w:r>
        <w:instrText xml:space="preserve"> HYPERLINK "https://www.baidu.com/s?wd=%E6%80%9D%E6%83%B3%E5%93%81%E5%BE%B7&amp;tn=SE_PcZhidaonwhc_ngpagmjz&amp;rsv_dl=gh_pc_zhidao" \t "https://zhidao.baidu.com/question/_blank" </w:instrText>
      </w:r>
      <w:r>
        <w:fldChar w:fldCharType="separate"/>
      </w:r>
      <w:r>
        <w:rPr>
          <w:rFonts w:ascii="仿宋" w:hAnsi="仿宋" w:eastAsia="仿宋"/>
          <w:sz w:val="32"/>
          <w:szCs w:val="32"/>
        </w:rPr>
        <w:t>思想品德</w:t>
      </w:r>
      <w:r>
        <w:rPr>
          <w:rFonts w:ascii="仿宋" w:hAnsi="仿宋" w:eastAsia="仿宋"/>
          <w:sz w:val="32"/>
          <w:szCs w:val="32"/>
        </w:rPr>
        <w:fldChar w:fldCharType="end"/>
      </w:r>
      <w:r>
        <w:rPr>
          <w:rFonts w:hint="eastAsia" w:ascii="仿宋" w:hAnsi="仿宋" w:eastAsia="仿宋"/>
          <w:sz w:val="32"/>
          <w:szCs w:val="32"/>
        </w:rPr>
        <w:t xml:space="preserve">教育，使学生的德智体全面发展。 </w:t>
      </w:r>
    </w:p>
    <w:p>
      <w:pPr>
        <w:pStyle w:val="26"/>
        <w:ind w:left="420" w:leftChars="200" w:firstLine="320" w:firstLineChars="1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抓好教师队伍建设，使每个教师都热心于教育事业；</w:t>
      </w:r>
    </w:p>
    <w:p>
      <w:pPr>
        <w:pStyle w:val="26"/>
        <w:ind w:left="420" w:leftChars="200" w:firstLine="320" w:firstLineChars="1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做好安全防范，保证学生的人身安全。</w:t>
      </w:r>
    </w:p>
    <w:p/>
    <w:p>
      <w:pPr>
        <w:pStyle w:val="3"/>
        <w:numPr>
          <w:ilvl w:val="0"/>
          <w:numId w:val="1"/>
        </w:numPr>
        <w:ind w:left="0" w:leftChars="0" w:firstLine="0" w:firstLineChars="0"/>
        <w:rPr>
          <w:rFonts w:hint="eastAsia" w:ascii="仿宋" w:hAnsi="仿宋" w:eastAsia="仿宋"/>
          <w:sz w:val="32"/>
          <w:szCs w:val="32"/>
        </w:rPr>
      </w:pPr>
      <w:r>
        <w:rPr>
          <w:rFonts w:hint="eastAsia" w:ascii="黑体" w:hAnsi="黑体" w:eastAsia="黑体"/>
          <w:b w:val="0"/>
        </w:rPr>
        <w:t>机构设置</w:t>
      </w:r>
    </w:p>
    <w:p>
      <w:pPr>
        <w:pStyle w:val="26"/>
        <w:ind w:left="420" w:leftChars="200" w:firstLine="320" w:firstLineChars="100"/>
        <w:rPr>
          <w:rFonts w:hint="default" w:eastAsia="黑体"/>
          <w:lang w:val="en-US" w:eastAsia="zh-CN"/>
        </w:rPr>
      </w:pPr>
      <w:r>
        <w:rPr>
          <w:rFonts w:hint="eastAsia" w:ascii="仿宋" w:hAnsi="仿宋" w:eastAsia="仿宋"/>
          <w:sz w:val="32"/>
          <w:szCs w:val="32"/>
          <w:lang w:val="en-US" w:eastAsia="zh-CN"/>
        </w:rPr>
        <w:t xml:space="preserve">  泸县实验学校是县教育和体育局直属学校，一级预算单位，无下辖单位。</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rPr>
          <w:rFonts w:hint="eastAsia" w:ascii="黑体" w:hAnsi="黑体" w:eastAsia="黑体"/>
          <w:b w:val="0"/>
        </w:rPr>
      </w:pPr>
      <w:bookmarkStart w:id="16" w:name="_Toc15396602"/>
      <w:bookmarkStart w:id="17" w:name="_Toc15377204"/>
    </w:p>
    <w:p>
      <w:pPr>
        <w:pStyle w:val="2"/>
        <w:ind w:right="440"/>
        <w:jc w:val="center"/>
        <w:rPr>
          <w:rStyle w:val="27"/>
          <w:rFonts w:hint="eastAsia" w:ascii="黑体" w:hAnsi="黑体" w:eastAsia="黑体"/>
          <w:b w:val="0"/>
          <w:bCs/>
        </w:rPr>
      </w:pPr>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bookmarkStart w:id="18" w:name="_Toc15377205"/>
      <w:bookmarkStart w:id="19" w:name="_Toc15396603"/>
    </w:p>
    <w:p>
      <w:pPr>
        <w:pStyle w:val="2"/>
        <w:ind w:right="440" w:firstLine="321" w:firstLineChars="100"/>
        <w:jc w:val="both"/>
        <w:rPr>
          <w:rStyle w:val="28"/>
          <w:rFonts w:hint="eastAsia" w:ascii="黑体" w:hAnsi="黑体" w:eastAsia="黑体"/>
          <w:b w:val="0"/>
          <w:bCs/>
        </w:rPr>
      </w:pPr>
      <w:r>
        <w:rPr>
          <w:rFonts w:hint="eastAsia" w:ascii="黑体" w:hAnsi="黑体" w:eastAsia="黑体"/>
          <w:sz w:val="32"/>
          <w:szCs w:val="32"/>
          <w:lang w:val="en-US" w:eastAsia="zh-CN"/>
        </w:rPr>
        <w:t>一、</w:t>
      </w:r>
      <w:r>
        <w:rPr>
          <w:rFonts w:hint="eastAsia" w:ascii="黑体" w:hAnsi="黑体" w:eastAsia="黑体"/>
          <w:sz w:val="32"/>
          <w:szCs w:val="32"/>
        </w:rPr>
        <w:t>收</w:t>
      </w:r>
      <w:r>
        <w:rPr>
          <w:rStyle w:val="28"/>
          <w:rFonts w:hint="eastAsia" w:ascii="黑体" w:hAnsi="黑体" w:eastAsia="黑体"/>
          <w:b w:val="0"/>
          <w:bCs/>
        </w:rPr>
        <w:t>入支出决算总体情况说明</w:t>
      </w:r>
      <w:bookmarkEnd w:id="18"/>
      <w:bookmarkEnd w:id="19"/>
    </w:p>
    <w:p>
      <w:pPr>
        <w:pStyle w:val="2"/>
        <w:ind w:right="440" w:firstLine="321" w:firstLineChars="100"/>
        <w:jc w:val="both"/>
      </w:pPr>
      <w:r>
        <w:rPr>
          <w:rFonts w:hint="eastAsia" w:hAnsi="仿宋"/>
          <w:sz w:val="32"/>
          <w:szCs w:val="32"/>
          <w:lang w:eastAsia="zh-CN"/>
        </w:rPr>
        <w:t>（</w:t>
      </w:r>
      <w:r>
        <w:rPr>
          <w:rFonts w:hint="eastAsia" w:hAnsi="仿宋"/>
          <w:sz w:val="32"/>
          <w:szCs w:val="32"/>
          <w:lang w:val="en-US" w:eastAsia="zh-CN"/>
        </w:rPr>
        <w:t>一</w:t>
      </w:r>
      <w:r>
        <w:rPr>
          <w:rFonts w:hint="eastAsia" w:hAnsi="仿宋"/>
          <w:sz w:val="32"/>
          <w:szCs w:val="32"/>
          <w:lang w:eastAsia="zh-CN"/>
        </w:rPr>
        <w:t>）</w:t>
      </w:r>
      <w:r>
        <w:rPr>
          <w:rFonts w:hint="eastAsia" w:ascii="仿宋_GB2312" w:hAnsi="仿宋" w:eastAsia="仿宋_GB2312"/>
          <w:sz w:val="32"/>
          <w:szCs w:val="32"/>
        </w:rPr>
        <w:t>2023年预算收入2889.13万元，全部</w:t>
      </w:r>
      <w:r>
        <w:rPr>
          <w:rFonts w:hint="eastAsia" w:hAnsi="仿宋"/>
          <w:sz w:val="32"/>
          <w:szCs w:val="32"/>
          <w:lang w:val="en-US" w:eastAsia="zh-CN"/>
        </w:rPr>
        <w:t>为</w:t>
      </w:r>
      <w:r>
        <w:rPr>
          <w:rFonts w:hint="eastAsia" w:ascii="仿宋_GB2312" w:hAnsi="仿宋" w:eastAsia="仿宋_GB2312"/>
          <w:sz w:val="32"/>
          <w:szCs w:val="32"/>
        </w:rPr>
        <w:t>财政拨款收入，预算支出2889.13万元。2022年预算收支</w:t>
      </w:r>
      <w:r>
        <w:rPr>
          <w:rFonts w:hint="eastAsia" w:ascii="仿宋" w:hAnsi="仿宋" w:eastAsia="仿宋"/>
          <w:sz w:val="32"/>
          <w:szCs w:val="32"/>
        </w:rPr>
        <w:t>2956.6万元，比2022年减少了0.02%，</w:t>
      </w:r>
      <w:r>
        <w:rPr>
          <w:rFonts w:hint="eastAsia" w:ascii="仿宋_GB2312" w:hAnsi="仿宋" w:eastAsia="仿宋_GB2312"/>
          <w:sz w:val="32"/>
          <w:szCs w:val="32"/>
        </w:rPr>
        <w:t>预算减少原因是项目支出减少。</w:t>
      </w:r>
    </w:p>
    <w:p>
      <w:pPr>
        <w:spacing w:line="600" w:lineRule="exact"/>
        <w:ind w:firstLine="420" w:firstLineChars="200"/>
        <w:rPr>
          <w:rFonts w:ascii="仿宋" w:hAnsi="仿宋" w:eastAsia="仿宋"/>
          <w:sz w:val="32"/>
          <w:szCs w:val="32"/>
        </w:rPr>
      </w:pPr>
      <w:r>
        <w:rPr>
          <w:rFonts w:hint="eastAsia"/>
        </w:rPr>
        <w:drawing>
          <wp:anchor distT="0" distB="0" distL="114300" distR="114300" simplePos="0" relativeHeight="251659264" behindDoc="0" locked="0" layoutInCell="1" allowOverlap="1">
            <wp:simplePos x="0" y="0"/>
            <wp:positionH relativeFrom="column">
              <wp:posOffset>276225</wp:posOffset>
            </wp:positionH>
            <wp:positionV relativeFrom="paragraph">
              <wp:posOffset>6350</wp:posOffset>
            </wp:positionV>
            <wp:extent cx="4704080" cy="3152140"/>
            <wp:effectExtent l="4445" t="5080" r="15875" b="508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(可用柱形图或折线图)。</w:t>
      </w:r>
    </w:p>
    <w:p>
      <w:pPr>
        <w:snapToGrid w:val="0"/>
        <w:spacing w:line="520" w:lineRule="exact"/>
        <w:ind w:firstLine="642" w:firstLineChars="200"/>
        <w:outlineLvl w:val="0"/>
        <w:rPr>
          <w:rFonts w:hint="eastAsia" w:ascii="楷体_GB2312" w:hAnsi="仿宋" w:eastAsia="楷体_GB2312"/>
          <w:b/>
          <w:sz w:val="32"/>
          <w:szCs w:val="32"/>
        </w:rPr>
      </w:pPr>
    </w:p>
    <w:p>
      <w:pPr>
        <w:snapToGrid w:val="0"/>
        <w:spacing w:line="520" w:lineRule="exact"/>
        <w:ind w:firstLine="642" w:firstLineChars="200"/>
        <w:outlineLvl w:val="0"/>
        <w:rPr>
          <w:rFonts w:hint="eastAsia" w:ascii="楷体_GB2312" w:hAnsi="仿宋" w:eastAsia="楷体_GB2312"/>
          <w:b/>
          <w:sz w:val="32"/>
          <w:szCs w:val="32"/>
        </w:rPr>
      </w:pPr>
    </w:p>
    <w:p>
      <w:pPr>
        <w:snapToGrid w:val="0"/>
        <w:spacing w:line="520" w:lineRule="exact"/>
        <w:outlineLvl w:val="0"/>
        <w:rPr>
          <w:rFonts w:hint="eastAsia" w:ascii="楷体_GB2312" w:hAnsi="仿宋" w:eastAsia="楷体_GB2312"/>
          <w:b/>
          <w:sz w:val="32"/>
          <w:szCs w:val="32"/>
        </w:rPr>
      </w:pPr>
    </w:p>
    <w:p>
      <w:pPr>
        <w:snapToGrid w:val="0"/>
        <w:spacing w:line="520" w:lineRule="exact"/>
        <w:outlineLvl w:val="0"/>
        <w:rPr>
          <w:rFonts w:hint="eastAsia" w:ascii="楷体_GB2312" w:hAnsi="仿宋" w:eastAsia="楷体_GB2312"/>
          <w:b/>
          <w:sz w:val="32"/>
          <w:szCs w:val="32"/>
        </w:rPr>
      </w:pPr>
    </w:p>
    <w:p>
      <w:pPr>
        <w:snapToGrid w:val="0"/>
        <w:spacing w:line="520" w:lineRule="exact"/>
        <w:outlineLvl w:val="0"/>
        <w:rPr>
          <w:rFonts w:hint="eastAsia" w:ascii="楷体_GB2312" w:hAnsi="仿宋" w:eastAsia="楷体_GB2312"/>
          <w:b/>
          <w:sz w:val="32"/>
          <w:szCs w:val="32"/>
        </w:rPr>
      </w:pPr>
    </w:p>
    <w:p>
      <w:pPr>
        <w:snapToGrid w:val="0"/>
        <w:spacing w:line="520" w:lineRule="exact"/>
        <w:outlineLvl w:val="0"/>
        <w:rPr>
          <w:rFonts w:hint="eastAsia" w:ascii="楷体_GB2312" w:hAnsi="仿宋" w:eastAsia="楷体_GB2312"/>
          <w:b/>
          <w:sz w:val="32"/>
          <w:szCs w:val="32"/>
        </w:rPr>
      </w:pPr>
    </w:p>
    <w:p>
      <w:pPr>
        <w:snapToGrid w:val="0"/>
        <w:spacing w:line="520" w:lineRule="exact"/>
        <w:outlineLvl w:val="0"/>
        <w:rPr>
          <w:rFonts w:ascii="仿宋_GB2312" w:hAnsi="仿宋" w:eastAsia="仿宋_GB2312"/>
          <w:b/>
          <w:sz w:val="32"/>
          <w:szCs w:val="32"/>
        </w:rPr>
      </w:pPr>
      <w:r>
        <w:rPr>
          <w:rFonts w:hint="eastAsia" w:ascii="楷体_GB2312" w:hAnsi="仿宋" w:eastAsia="楷体_GB2312"/>
          <w:b/>
          <w:sz w:val="32"/>
          <w:szCs w:val="32"/>
        </w:rPr>
        <w:t>（二）收入支出预算执行情况。</w:t>
      </w:r>
    </w:p>
    <w:p>
      <w:pPr>
        <w:snapToGrid w:val="0"/>
        <w:spacing w:line="520" w:lineRule="exact"/>
        <w:ind w:firstLine="642"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2023年全年预算收入</w:t>
      </w:r>
      <w:r>
        <w:rPr>
          <w:rFonts w:hint="eastAsia" w:ascii="仿宋_GB2312" w:hAnsi="仿宋" w:eastAsia="仿宋_GB2312"/>
          <w:sz w:val="32"/>
          <w:szCs w:val="32"/>
        </w:rPr>
        <w:t>2889.13万元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全年预算支出</w:t>
      </w:r>
      <w:r>
        <w:rPr>
          <w:rFonts w:hint="eastAsia" w:ascii="仿宋_GB2312" w:hAnsi="仿宋" w:eastAsia="仿宋_GB2312"/>
          <w:sz w:val="32"/>
          <w:szCs w:val="32"/>
        </w:rPr>
        <w:t>2889.13万元</w:t>
      </w:r>
      <w:r>
        <w:rPr>
          <w:rFonts w:hint="eastAsia" w:ascii="仿宋_GB2312" w:hAnsi="仿宋" w:eastAsia="仿宋_GB2312"/>
          <w:sz w:val="32"/>
          <w:szCs w:val="32"/>
          <w:lang w:val="en-US" w:eastAsia="zh-CN"/>
        </w:rPr>
        <w:t>预算收支持平：</w:t>
      </w:r>
    </w:p>
    <w:p>
      <w:pPr>
        <w:snapToGrid w:val="0"/>
        <w:spacing w:line="520" w:lineRule="exact"/>
        <w:ind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drawing>
          <wp:anchor distT="0" distB="0" distL="114300" distR="114300" simplePos="0" relativeHeight="251660288" behindDoc="0" locked="0" layoutInCell="1" allowOverlap="1">
            <wp:simplePos x="0" y="0"/>
            <wp:positionH relativeFrom="column">
              <wp:posOffset>220980</wp:posOffset>
            </wp:positionH>
            <wp:positionV relativeFrom="paragraph">
              <wp:posOffset>635</wp:posOffset>
            </wp:positionV>
            <wp:extent cx="4809490" cy="2675255"/>
            <wp:effectExtent l="4445" t="4445" r="5715" b="63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pStyle w:val="26"/>
        <w:numPr>
          <w:ilvl w:val="0"/>
          <w:numId w:val="0"/>
        </w:numPr>
        <w:spacing w:line="600" w:lineRule="exact"/>
        <w:ind w:firstLine="640" w:firstLineChars="20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lang w:val="en-US" w:eastAsia="zh-CN"/>
        </w:rPr>
        <w:t>二、</w:t>
      </w:r>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2889.13</w:t>
      </w:r>
      <w:r>
        <w:rPr>
          <w:rFonts w:hint="eastAsia" w:ascii="仿宋" w:hAnsi="仿宋" w:eastAsia="仿宋"/>
          <w:sz w:val="32"/>
          <w:szCs w:val="32"/>
        </w:rPr>
        <w:t>万元，其中：一般公共预算财政拨款收入</w:t>
      </w:r>
      <w:r>
        <w:rPr>
          <w:rFonts w:ascii="仿宋" w:hAnsi="仿宋" w:eastAsia="仿宋"/>
          <w:b/>
          <w:sz w:val="32"/>
          <w:szCs w:val="32"/>
        </w:rPr>
        <w:t>2889.13</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ind w:firstLine="642"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1312" behindDoc="0" locked="0" layoutInCell="1" allowOverlap="1">
            <wp:simplePos x="0" y="0"/>
            <wp:positionH relativeFrom="column">
              <wp:posOffset>268605</wp:posOffset>
            </wp:positionH>
            <wp:positionV relativeFrom="paragraph">
              <wp:posOffset>13970</wp:posOffset>
            </wp:positionV>
            <wp:extent cx="4810760" cy="2721610"/>
            <wp:effectExtent l="4445" t="4445" r="23495" b="1714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2889.13</w:t>
      </w:r>
      <w:r>
        <w:rPr>
          <w:rFonts w:hint="eastAsia" w:ascii="仿宋" w:hAnsi="仿宋" w:eastAsia="仿宋"/>
          <w:sz w:val="32"/>
          <w:szCs w:val="32"/>
        </w:rPr>
        <w:t>万元，其中：基本支出</w:t>
      </w:r>
      <w:r>
        <w:rPr>
          <w:rFonts w:ascii="仿宋" w:hAnsi="仿宋" w:eastAsia="仿宋"/>
          <w:b/>
          <w:sz w:val="32"/>
          <w:szCs w:val="32"/>
        </w:rPr>
        <w:t>2588.1</w:t>
      </w:r>
      <w:r>
        <w:rPr>
          <w:rFonts w:hint="eastAsia" w:ascii="仿宋" w:hAnsi="仿宋" w:eastAsia="仿宋"/>
          <w:sz w:val="32"/>
          <w:szCs w:val="32"/>
        </w:rPr>
        <w:t>万元，占</w:t>
      </w:r>
      <w:r>
        <w:rPr>
          <w:rFonts w:ascii="仿宋" w:hAnsi="仿宋" w:eastAsia="仿宋"/>
          <w:b/>
          <w:sz w:val="32"/>
          <w:szCs w:val="32"/>
        </w:rPr>
        <w:t>89.58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301.03</w:t>
      </w:r>
      <w:r>
        <w:rPr>
          <w:rFonts w:hint="eastAsia" w:ascii="仿宋" w:hAnsi="仿宋" w:eastAsia="仿宋"/>
          <w:sz w:val="32"/>
          <w:szCs w:val="32"/>
        </w:rPr>
        <w:t>万元，占</w:t>
      </w:r>
      <w:r>
        <w:rPr>
          <w:rFonts w:ascii="仿宋" w:hAnsi="仿宋" w:eastAsia="仿宋"/>
          <w:b/>
          <w:sz w:val="32"/>
          <w:szCs w:val="32"/>
        </w:rPr>
        <w:t>10.41</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62336" behindDoc="0" locked="0" layoutInCell="1" allowOverlap="1">
            <wp:simplePos x="0" y="0"/>
            <wp:positionH relativeFrom="column">
              <wp:posOffset>224790</wp:posOffset>
            </wp:positionH>
            <wp:positionV relativeFrom="paragraph">
              <wp:posOffset>100330</wp:posOffset>
            </wp:positionV>
            <wp:extent cx="4789170" cy="2439035"/>
            <wp:effectExtent l="4445" t="4445" r="6985" b="1397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napToGrid w:val="0"/>
        <w:spacing w:line="520" w:lineRule="exact"/>
        <w:ind w:firstLine="640" w:firstLineChars="200"/>
        <w:rPr>
          <w:rFonts w:ascii="仿宋_GB2312" w:hAnsi="仿宋" w:eastAsia="仿宋_GB2312"/>
          <w:sz w:val="32"/>
          <w:szCs w:val="32"/>
        </w:rPr>
      </w:pPr>
    </w:p>
    <w:p>
      <w:pPr>
        <w:snapToGrid w:val="0"/>
        <w:spacing w:line="520" w:lineRule="exact"/>
        <w:ind w:firstLine="640" w:firstLineChars="200"/>
        <w:rPr>
          <w:rFonts w:ascii="仿宋_GB2312" w:hAnsi="仿宋" w:eastAsia="仿宋_GB2312"/>
          <w:sz w:val="32"/>
          <w:szCs w:val="32"/>
        </w:rPr>
      </w:pPr>
    </w:p>
    <w:p>
      <w:pPr>
        <w:snapToGrid w:val="0"/>
        <w:spacing w:line="520" w:lineRule="exact"/>
        <w:ind w:firstLine="640" w:firstLineChars="200"/>
        <w:rPr>
          <w:rFonts w:ascii="仿宋_GB2312" w:hAnsi="仿宋" w:eastAsia="仿宋_GB2312"/>
          <w:sz w:val="32"/>
          <w:szCs w:val="32"/>
        </w:rPr>
      </w:pPr>
    </w:p>
    <w:p>
      <w:pPr>
        <w:snapToGrid w:val="0"/>
        <w:spacing w:line="520" w:lineRule="exact"/>
        <w:ind w:firstLine="640" w:firstLineChars="200"/>
        <w:rPr>
          <w:rFonts w:ascii="仿宋_GB2312" w:hAnsi="仿宋" w:eastAsia="仿宋_GB2312"/>
          <w:sz w:val="32"/>
          <w:szCs w:val="32"/>
        </w:rPr>
      </w:pPr>
    </w:p>
    <w:p>
      <w:pPr>
        <w:snapToGrid w:val="0"/>
        <w:spacing w:line="520" w:lineRule="exact"/>
        <w:ind w:firstLine="640" w:firstLineChars="200"/>
        <w:rPr>
          <w:rFonts w:ascii="仿宋_GB2312" w:hAnsi="仿宋" w:eastAsia="仿宋_GB2312"/>
          <w:sz w:val="32"/>
          <w:szCs w:val="32"/>
        </w:rPr>
      </w:pPr>
    </w:p>
    <w:p>
      <w:pPr>
        <w:snapToGrid w:val="0"/>
        <w:spacing w:line="520" w:lineRule="exact"/>
        <w:ind w:firstLine="640" w:firstLineChars="200"/>
        <w:rPr>
          <w:rFonts w:ascii="仿宋_GB2312" w:hAnsi="仿宋" w:eastAsia="仿宋_GB2312"/>
          <w:sz w:val="32"/>
          <w:szCs w:val="32"/>
        </w:rPr>
      </w:pPr>
    </w:p>
    <w:p>
      <w:pPr>
        <w:snapToGrid w:val="0"/>
        <w:spacing w:line="520" w:lineRule="exact"/>
        <w:ind w:firstLine="640" w:firstLineChars="200"/>
        <w:rPr>
          <w:rFonts w:ascii="仿宋_GB2312" w:hAnsi="仿宋" w:eastAsia="仿宋_GB2312"/>
          <w:sz w:val="32"/>
          <w:szCs w:val="32"/>
        </w:rPr>
      </w:pPr>
    </w:p>
    <w:p>
      <w:pPr>
        <w:spacing w:line="600" w:lineRule="exact"/>
        <w:outlineLvl w:val="1"/>
        <w:rPr>
          <w:rFonts w:ascii="仿宋_GB2312" w:eastAsia="仿宋_GB2312"/>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hint="default" w:ascii="仿宋" w:hAnsi="仿宋" w:eastAsia="仿宋"/>
          <w:sz w:val="32"/>
          <w:szCs w:val="32"/>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2889.13</w:t>
      </w:r>
      <w:r>
        <w:rPr>
          <w:rFonts w:hint="eastAsia" w:ascii="仿宋" w:hAnsi="仿宋" w:eastAsia="仿宋"/>
          <w:sz w:val="32"/>
          <w:szCs w:val="32"/>
        </w:rPr>
        <w:t>万元。与2022年度</w:t>
      </w:r>
      <w:r>
        <w:rPr>
          <w:rFonts w:hint="eastAsia" w:ascii="仿宋" w:hAnsi="仿宋" w:eastAsia="仿宋"/>
          <w:sz w:val="32"/>
          <w:szCs w:val="32"/>
          <w:lang w:val="en-US" w:eastAsia="zh-CN"/>
        </w:rPr>
        <w:t>2956.6万元</w:t>
      </w:r>
      <w:r>
        <w:rPr>
          <w:rFonts w:hint="eastAsia" w:ascii="仿宋" w:hAnsi="仿宋" w:eastAsia="仿宋"/>
          <w:sz w:val="32"/>
          <w:szCs w:val="32"/>
        </w:rPr>
        <w:t>相比，财政拨款收、支总计各减少</w:t>
      </w:r>
      <w:r>
        <w:rPr>
          <w:rFonts w:hint="eastAsia" w:ascii="仿宋" w:hAnsi="仿宋" w:eastAsia="仿宋"/>
          <w:sz w:val="32"/>
          <w:szCs w:val="32"/>
          <w:lang w:val="en-US" w:eastAsia="zh-CN"/>
        </w:rPr>
        <w:t>67.47</w:t>
      </w:r>
      <w:r>
        <w:rPr>
          <w:rFonts w:hint="eastAsia" w:ascii="仿宋" w:hAnsi="仿宋" w:eastAsia="仿宋"/>
          <w:sz w:val="32"/>
          <w:szCs w:val="32"/>
        </w:rPr>
        <w:t>万元，下降</w:t>
      </w:r>
      <w:r>
        <w:rPr>
          <w:rFonts w:hint="eastAsia" w:ascii="仿宋" w:hAnsi="仿宋" w:eastAsia="仿宋"/>
          <w:sz w:val="32"/>
          <w:szCs w:val="32"/>
          <w:lang w:val="en-US" w:eastAsia="zh-CN"/>
        </w:rPr>
        <w:t>2.3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维修建设项目减少。</w:t>
      </w:r>
    </w:p>
    <w:p>
      <w:pPr>
        <w:spacing w:line="600" w:lineRule="exact"/>
        <w:ind w:firstLine="640"/>
        <w:rPr>
          <w:rFonts w:ascii="仿宋" w:hAnsi="仿宋" w:eastAsia="仿宋"/>
          <w:b/>
          <w:sz w:val="32"/>
          <w:szCs w:val="32"/>
        </w:rPr>
      </w:pPr>
      <w:r>
        <w:rPr>
          <w:rFonts w:hint="default" w:ascii="仿宋_GB2312" w:hAnsi="仿宋" w:eastAsia="仿宋_GB2312"/>
          <w:sz w:val="32"/>
          <w:szCs w:val="32"/>
          <w:lang w:val="en-US" w:eastAsia="zh-CN"/>
        </w:rPr>
        <w:drawing>
          <wp:anchor distT="0" distB="0" distL="114300" distR="114300" simplePos="0" relativeHeight="251663360" behindDoc="0" locked="0" layoutInCell="1" allowOverlap="1">
            <wp:simplePos x="0" y="0"/>
            <wp:positionH relativeFrom="column">
              <wp:posOffset>142875</wp:posOffset>
            </wp:positionH>
            <wp:positionV relativeFrom="paragraph">
              <wp:posOffset>111125</wp:posOffset>
            </wp:positionV>
            <wp:extent cx="4743450" cy="2437130"/>
            <wp:effectExtent l="5080" t="4445" r="13970" b="1587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rPr>
          <w:rFonts w:hint="default" w:ascii="仿宋" w:hAnsi="仿宋" w:eastAsia="仿宋"/>
          <w:sz w:val="32"/>
          <w:szCs w:val="32"/>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2889.13</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w:t>
      </w:r>
      <w:r>
        <w:rPr>
          <w:rFonts w:hint="eastAsia" w:ascii="仿宋" w:hAnsi="仿宋" w:eastAsia="仿宋"/>
          <w:sz w:val="32"/>
          <w:szCs w:val="32"/>
          <w:lang w:val="en-US" w:eastAsia="zh-CN"/>
        </w:rPr>
        <w:t>2956.6万元</w:t>
      </w:r>
      <w:r>
        <w:rPr>
          <w:rFonts w:hint="eastAsia" w:ascii="仿宋" w:hAnsi="仿宋" w:eastAsia="仿宋"/>
          <w:sz w:val="32"/>
          <w:szCs w:val="32"/>
        </w:rPr>
        <w:t>相比，财政拨款收、支总计各减少</w:t>
      </w:r>
      <w:r>
        <w:rPr>
          <w:rFonts w:hint="eastAsia" w:ascii="仿宋" w:hAnsi="仿宋" w:eastAsia="仿宋"/>
          <w:sz w:val="32"/>
          <w:szCs w:val="32"/>
          <w:lang w:val="en-US" w:eastAsia="zh-CN"/>
        </w:rPr>
        <w:t>67.47</w:t>
      </w:r>
      <w:r>
        <w:rPr>
          <w:rFonts w:hint="eastAsia" w:ascii="仿宋" w:hAnsi="仿宋" w:eastAsia="仿宋"/>
          <w:sz w:val="32"/>
          <w:szCs w:val="32"/>
        </w:rPr>
        <w:t>万元，下降</w:t>
      </w:r>
      <w:r>
        <w:rPr>
          <w:rFonts w:hint="eastAsia" w:ascii="仿宋" w:hAnsi="仿宋" w:eastAsia="仿宋"/>
          <w:sz w:val="32"/>
          <w:szCs w:val="32"/>
          <w:lang w:val="en-US" w:eastAsia="zh-CN"/>
        </w:rPr>
        <w:t>2.3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维修建设项目减少。</w:t>
      </w:r>
    </w:p>
    <w:p>
      <w:pPr>
        <w:spacing w:line="600" w:lineRule="exact"/>
        <w:ind w:firstLine="640" w:firstLineChars="200"/>
        <w:rPr>
          <w:rFonts w:ascii="仿宋" w:hAnsi="仿宋" w:eastAsia="仿宋"/>
          <w:sz w:val="32"/>
          <w:szCs w:val="32"/>
        </w:rPr>
      </w:pPr>
      <w:r>
        <w:rPr>
          <w:rFonts w:hint="default" w:ascii="仿宋_GB2312" w:hAnsi="仿宋" w:eastAsia="仿宋_GB2312"/>
          <w:sz w:val="32"/>
          <w:szCs w:val="32"/>
          <w:lang w:val="en-US" w:eastAsia="zh-CN"/>
        </w:rPr>
        <w:drawing>
          <wp:anchor distT="0" distB="0" distL="114300" distR="114300" simplePos="0" relativeHeight="251664384" behindDoc="0" locked="0" layoutInCell="1" allowOverlap="1">
            <wp:simplePos x="0" y="0"/>
            <wp:positionH relativeFrom="column">
              <wp:posOffset>266700</wp:posOffset>
            </wp:positionH>
            <wp:positionV relativeFrom="paragraph">
              <wp:posOffset>266700</wp:posOffset>
            </wp:positionV>
            <wp:extent cx="4743450" cy="2884170"/>
            <wp:effectExtent l="4445" t="4445" r="14605" b="698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2" w:firstLineChars="200"/>
        <w:outlineLvl w:val="2"/>
        <w:rPr>
          <w:rFonts w:hint="eastAsia" w:ascii="仿宋" w:hAnsi="仿宋" w:eastAsia="仿宋"/>
          <w:b/>
          <w:sz w:val="32"/>
          <w:szCs w:val="32"/>
        </w:rPr>
      </w:pPr>
      <w:bookmarkStart w:id="29" w:name="_Toc15377211"/>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29"/>
    </w:p>
    <w:p>
      <w:pPr>
        <w:spacing w:line="600" w:lineRule="exact"/>
        <w:ind w:firstLine="640" w:firstLineChars="200"/>
        <w:rPr>
          <w:rFonts w:ascii="仿宋_GB2312" w:hAnsi="仿宋" w:eastAsia="仿宋_GB2312"/>
          <w:sz w:val="32"/>
          <w:szCs w:val="32"/>
        </w:rPr>
      </w:pPr>
      <w:r>
        <w:rPr>
          <w:rFonts w:ascii="仿宋" w:hAnsi="仿宋" w:eastAsia="仿宋"/>
          <w:sz w:val="32"/>
          <w:szCs w:val="32"/>
        </w:rPr>
        <w:t>20</w:t>
      </w:r>
      <w:r>
        <w:rPr>
          <w:rFonts w:hint="eastAsia" w:ascii="仿宋_GB2312" w:hAnsi="仿宋" w:eastAsia="仿宋_GB2312"/>
          <w:sz w:val="32"/>
          <w:szCs w:val="32"/>
        </w:rPr>
        <w:t>23年一般公共预算财政拨款支出2889.13万元，主要用于以下方面</w:t>
      </w:r>
      <w:r>
        <w:rPr>
          <w:rFonts w:ascii="仿宋_GB2312" w:hAnsi="仿宋" w:eastAsia="仿宋_GB2312"/>
          <w:sz w:val="32"/>
          <w:szCs w:val="32"/>
        </w:rPr>
        <w:t>:</w:t>
      </w:r>
      <w:r>
        <w:rPr>
          <w:rFonts w:hint="eastAsia" w:ascii="仿宋_GB2312" w:hAnsi="仿宋" w:eastAsia="仿宋_GB2312"/>
          <w:sz w:val="32"/>
          <w:szCs w:val="32"/>
        </w:rPr>
        <w:t>一般公共服务支出0万元，占0</w:t>
      </w:r>
      <w:r>
        <w:rPr>
          <w:rFonts w:ascii="仿宋_GB2312" w:hAnsi="仿宋" w:eastAsia="仿宋_GB2312"/>
          <w:sz w:val="32"/>
          <w:szCs w:val="32"/>
        </w:rPr>
        <w:t>%</w:t>
      </w:r>
      <w:r>
        <w:rPr>
          <w:rFonts w:hint="eastAsia" w:ascii="仿宋_GB2312" w:hAnsi="仿宋" w:eastAsia="仿宋_GB2312"/>
          <w:sz w:val="32"/>
          <w:szCs w:val="32"/>
        </w:rPr>
        <w:t>；教育支出</w:t>
      </w:r>
      <w:r>
        <w:rPr>
          <w:rFonts w:ascii="仿宋_GB2312" w:hAnsi="仿宋" w:eastAsia="仿宋_GB2312"/>
          <w:sz w:val="32"/>
          <w:szCs w:val="32"/>
        </w:rPr>
        <w:t>2118</w:t>
      </w:r>
      <w:r>
        <w:rPr>
          <w:rFonts w:hint="eastAsia" w:ascii="仿宋_GB2312" w:hAnsi="仿宋" w:eastAsia="仿宋_GB2312"/>
          <w:sz w:val="32"/>
          <w:szCs w:val="32"/>
        </w:rPr>
        <w:t>.</w:t>
      </w:r>
      <w:r>
        <w:rPr>
          <w:rFonts w:ascii="仿宋_GB2312" w:hAnsi="仿宋" w:eastAsia="仿宋_GB2312"/>
          <w:sz w:val="32"/>
          <w:szCs w:val="32"/>
        </w:rPr>
        <w:t>59</w:t>
      </w:r>
      <w:r>
        <w:rPr>
          <w:rFonts w:hint="eastAsia" w:ascii="仿宋_GB2312" w:hAnsi="仿宋" w:eastAsia="仿宋_GB2312"/>
          <w:sz w:val="32"/>
          <w:szCs w:val="32"/>
        </w:rPr>
        <w:t>万元，占73.33</w:t>
      </w:r>
      <w:r>
        <w:rPr>
          <w:rFonts w:ascii="仿宋_GB2312" w:hAnsi="仿宋" w:eastAsia="仿宋_GB2312"/>
          <w:sz w:val="32"/>
          <w:szCs w:val="32"/>
        </w:rPr>
        <w:t>%</w:t>
      </w:r>
      <w:r>
        <w:rPr>
          <w:rFonts w:hint="eastAsia" w:ascii="仿宋_GB2312" w:hAnsi="仿宋" w:eastAsia="仿宋_GB2312"/>
          <w:sz w:val="32"/>
          <w:szCs w:val="32"/>
        </w:rPr>
        <w:t>；科学技术支出0万元，占0</w:t>
      </w:r>
      <w:r>
        <w:rPr>
          <w:rFonts w:ascii="仿宋_GB2312" w:hAnsi="仿宋" w:eastAsia="仿宋_GB2312"/>
          <w:sz w:val="32"/>
          <w:szCs w:val="32"/>
        </w:rPr>
        <w:t>%</w:t>
      </w:r>
      <w:r>
        <w:rPr>
          <w:rFonts w:hint="eastAsia" w:ascii="仿宋_GB2312" w:hAnsi="仿宋" w:eastAsia="仿宋_GB2312"/>
          <w:sz w:val="32"/>
          <w:szCs w:val="32"/>
        </w:rPr>
        <w:t>；文化旅游体育与传媒支出0万元，占0</w:t>
      </w:r>
      <w:r>
        <w:rPr>
          <w:rFonts w:ascii="仿宋_GB2312" w:hAnsi="仿宋" w:eastAsia="仿宋_GB2312"/>
          <w:sz w:val="32"/>
          <w:szCs w:val="32"/>
        </w:rPr>
        <w:t>%</w:t>
      </w:r>
      <w:r>
        <w:rPr>
          <w:rFonts w:hint="eastAsia" w:ascii="仿宋_GB2312" w:hAnsi="仿宋" w:eastAsia="仿宋_GB2312"/>
          <w:sz w:val="32"/>
          <w:szCs w:val="32"/>
        </w:rPr>
        <w:t>；社会保障和就业支出261.64万元，占9.05</w:t>
      </w:r>
      <w:r>
        <w:rPr>
          <w:rFonts w:ascii="仿宋_GB2312" w:hAnsi="仿宋" w:eastAsia="仿宋_GB2312"/>
          <w:sz w:val="32"/>
          <w:szCs w:val="32"/>
        </w:rPr>
        <w:t>%</w:t>
      </w:r>
      <w:r>
        <w:rPr>
          <w:rFonts w:hint="eastAsia" w:ascii="仿宋_GB2312" w:hAnsi="仿宋" w:eastAsia="仿宋_GB2312"/>
          <w:sz w:val="32"/>
          <w:szCs w:val="32"/>
        </w:rPr>
        <w:t>；卫生健康支出122.95万元，占4.25</w:t>
      </w:r>
      <w:r>
        <w:rPr>
          <w:rFonts w:ascii="仿宋_GB2312" w:hAnsi="仿宋" w:eastAsia="仿宋_GB2312"/>
          <w:sz w:val="32"/>
          <w:szCs w:val="32"/>
        </w:rPr>
        <w:t>%</w:t>
      </w:r>
      <w:r>
        <w:rPr>
          <w:rFonts w:hint="eastAsia" w:ascii="仿宋_GB2312" w:hAnsi="仿宋" w:eastAsia="仿宋_GB2312"/>
          <w:sz w:val="32"/>
          <w:szCs w:val="32"/>
        </w:rPr>
        <w:t>；住房保障支出151.25万元，占5.24</w:t>
      </w:r>
      <w:r>
        <w:rPr>
          <w:rFonts w:ascii="仿宋_GB2312" w:hAnsi="仿宋" w:eastAsia="仿宋_GB2312"/>
          <w:sz w:val="32"/>
          <w:szCs w:val="32"/>
        </w:rPr>
        <w:t>%</w:t>
      </w:r>
      <w:r>
        <w:rPr>
          <w:rFonts w:hint="eastAsia" w:ascii="仿宋_GB2312" w:hAnsi="仿宋" w:eastAsia="仿宋_GB2312"/>
          <w:sz w:val="32"/>
          <w:szCs w:val="32"/>
        </w:rPr>
        <w:t>；应急防治及应急管理支出234.71万元，占8.12%。</w:t>
      </w:r>
    </w:p>
    <w:p>
      <w:pPr>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drawing>
          <wp:anchor distT="0" distB="0" distL="0" distR="0" simplePos="0" relativeHeight="251665408" behindDoc="1" locked="0" layoutInCell="1" allowOverlap="1">
            <wp:simplePos x="0" y="0"/>
            <wp:positionH relativeFrom="column">
              <wp:posOffset>68580</wp:posOffset>
            </wp:positionH>
            <wp:positionV relativeFrom="paragraph">
              <wp:posOffset>257810</wp:posOffset>
            </wp:positionV>
            <wp:extent cx="5217795" cy="3067685"/>
            <wp:effectExtent l="4445" t="5080" r="16510" b="13335"/>
            <wp:wrapNone/>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_GB2312" w:hAnsi="仿宋" w:eastAsia="仿宋_GB2312"/>
          <w:sz w:val="32"/>
          <w:szCs w:val="32"/>
        </w:rPr>
      </w:pPr>
    </w:p>
    <w:p>
      <w:pPr>
        <w:spacing w:line="600" w:lineRule="exact"/>
        <w:ind w:firstLine="640"/>
        <w:rPr>
          <w:rFonts w:hint="eastAsia" w:ascii="仿宋_GB2312" w:hAnsi="仿宋" w:eastAsia="仿宋_GB2312"/>
          <w:sz w:val="32"/>
          <w:szCs w:val="32"/>
        </w:rPr>
      </w:pPr>
    </w:p>
    <w:p>
      <w:pPr>
        <w:spacing w:line="600" w:lineRule="exact"/>
        <w:ind w:firstLine="640"/>
        <w:rPr>
          <w:rFonts w:hint="eastAsia" w:ascii="仿宋_GB2312" w:hAnsi="仿宋" w:eastAsia="仿宋_GB2312"/>
          <w:sz w:val="32"/>
          <w:szCs w:val="32"/>
        </w:rPr>
      </w:pPr>
    </w:p>
    <w:p>
      <w:pPr>
        <w:spacing w:line="600" w:lineRule="exact"/>
        <w:ind w:firstLine="640"/>
        <w:rPr>
          <w:rFonts w:hint="eastAsia" w:ascii="仿宋_GB2312" w:hAnsi="仿宋" w:eastAsia="仿宋_GB2312"/>
          <w:sz w:val="32"/>
          <w:szCs w:val="32"/>
        </w:rPr>
      </w:pPr>
    </w:p>
    <w:p>
      <w:pPr>
        <w:spacing w:line="600" w:lineRule="exact"/>
        <w:ind w:firstLine="640"/>
        <w:rPr>
          <w:rFonts w:hint="eastAsia" w:ascii="仿宋_GB2312" w:hAnsi="仿宋" w:eastAsia="仿宋_GB2312"/>
          <w:sz w:val="32"/>
          <w:szCs w:val="32"/>
        </w:rPr>
      </w:pPr>
    </w:p>
    <w:p>
      <w:pPr>
        <w:spacing w:line="600" w:lineRule="exact"/>
        <w:ind w:firstLine="640"/>
        <w:rPr>
          <w:rFonts w:hint="eastAsia" w:ascii="仿宋_GB2312" w:hAnsi="仿宋" w:eastAsia="仿宋_GB2312"/>
          <w:sz w:val="32"/>
          <w:szCs w:val="32"/>
        </w:rPr>
      </w:pPr>
    </w:p>
    <w:p>
      <w:pPr>
        <w:spacing w:line="600" w:lineRule="exact"/>
        <w:ind w:firstLine="640"/>
        <w:rPr>
          <w:rFonts w:hint="eastAsia" w:ascii="仿宋_GB2312" w:hAnsi="仿宋" w:eastAsia="仿宋_GB2312"/>
          <w:sz w:val="32"/>
          <w:szCs w:val="32"/>
        </w:rPr>
      </w:pPr>
    </w:p>
    <w:p>
      <w:pPr>
        <w:spacing w:line="600" w:lineRule="exact"/>
        <w:ind w:firstLine="640"/>
        <w:rPr>
          <w:rFonts w:hint="eastAsia" w:ascii="仿宋_GB2312" w:hAnsi="仿宋" w:eastAsia="仿宋_GB2312"/>
          <w:sz w:val="32"/>
          <w:szCs w:val="32"/>
        </w:rPr>
      </w:pPr>
    </w:p>
    <w:p>
      <w:pPr>
        <w:spacing w:line="600" w:lineRule="exact"/>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2889.13</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一般公共服务（类）</w:t>
      </w:r>
      <w:r>
        <w:rPr>
          <w:rStyle w:val="16"/>
          <w:rFonts w:ascii="仿宋" w:hAnsi="仿宋" w:eastAsia="仿宋"/>
          <w:bCs/>
          <w:sz w:val="32"/>
          <w:szCs w:val="32"/>
        </w:rPr>
        <w:t>***</w:t>
      </w:r>
      <w:r>
        <w:rPr>
          <w:rStyle w:val="16"/>
          <w:rFonts w:hint="eastAsia" w:ascii="仿宋" w:hAnsi="仿宋" w:eastAsia="仿宋"/>
          <w:bCs/>
          <w:sz w:val="32"/>
          <w:szCs w:val="32"/>
        </w:rPr>
        <w:t>（款）</w:t>
      </w:r>
      <w:r>
        <w:rPr>
          <w:rStyle w:val="16"/>
          <w:rFonts w:ascii="仿宋" w:hAnsi="仿宋" w:eastAsia="仿宋"/>
          <w:bCs/>
          <w:sz w:val="32"/>
          <w:szCs w:val="32"/>
        </w:rPr>
        <w:t>***</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2.</w:t>
      </w:r>
      <w:r>
        <w:rPr>
          <w:rStyle w:val="16"/>
          <w:rFonts w:hint="eastAsia" w:ascii="仿宋" w:hAnsi="仿宋" w:eastAsia="仿宋"/>
          <w:bCs/>
          <w:sz w:val="32"/>
          <w:szCs w:val="32"/>
        </w:rPr>
        <w:t>教育（类）</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2118.59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3.</w:t>
      </w:r>
      <w:r>
        <w:rPr>
          <w:rStyle w:val="16"/>
          <w:rFonts w:hint="eastAsia" w:ascii="仿宋" w:hAnsi="仿宋" w:eastAsia="仿宋"/>
          <w:bCs/>
          <w:sz w:val="32"/>
          <w:szCs w:val="32"/>
        </w:rPr>
        <w:t>科学技术（类）</w:t>
      </w:r>
      <w:r>
        <w:rPr>
          <w:rStyle w:val="16"/>
          <w:rFonts w:ascii="仿宋" w:hAnsi="仿宋" w:eastAsia="仿宋"/>
          <w:bCs/>
          <w:sz w:val="32"/>
          <w:szCs w:val="32"/>
        </w:rPr>
        <w:t>***</w:t>
      </w:r>
      <w:r>
        <w:rPr>
          <w:rStyle w:val="16"/>
          <w:rFonts w:hint="eastAsia" w:ascii="仿宋" w:hAnsi="仿宋" w:eastAsia="仿宋"/>
          <w:bCs/>
          <w:sz w:val="32"/>
          <w:szCs w:val="32"/>
        </w:rPr>
        <w:t>（款）</w:t>
      </w:r>
      <w:r>
        <w:rPr>
          <w:rStyle w:val="16"/>
          <w:rFonts w:ascii="仿宋" w:hAnsi="仿宋" w:eastAsia="仿宋"/>
          <w:bCs/>
          <w:sz w:val="32"/>
          <w:szCs w:val="32"/>
        </w:rPr>
        <w:t>***</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ascii="仿宋" w:hAnsi="仿宋" w:eastAsia="仿宋"/>
          <w:b w:val="0"/>
          <w:bCs/>
          <w:sz w:val="32"/>
          <w:szCs w:val="32"/>
        </w:rPr>
        <w:t>**</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4.</w:t>
      </w:r>
      <w:r>
        <w:rPr>
          <w:rStyle w:val="16"/>
          <w:rFonts w:hint="eastAsia" w:ascii="仿宋" w:hAnsi="仿宋" w:eastAsia="仿宋"/>
          <w:bCs/>
          <w:sz w:val="32"/>
          <w:szCs w:val="32"/>
        </w:rPr>
        <w:t>文化旅游体育与传媒（类）</w:t>
      </w:r>
      <w:r>
        <w:rPr>
          <w:rStyle w:val="16"/>
          <w:rFonts w:ascii="仿宋" w:hAnsi="仿宋" w:eastAsia="仿宋"/>
          <w:bCs/>
          <w:sz w:val="32"/>
          <w:szCs w:val="32"/>
        </w:rPr>
        <w:t>***</w:t>
      </w:r>
      <w:r>
        <w:rPr>
          <w:rStyle w:val="16"/>
          <w:rFonts w:hint="eastAsia" w:ascii="仿宋" w:hAnsi="仿宋" w:eastAsia="仿宋"/>
          <w:bCs/>
          <w:sz w:val="32"/>
          <w:szCs w:val="32"/>
        </w:rPr>
        <w:t>（款）</w:t>
      </w:r>
      <w:r>
        <w:rPr>
          <w:rStyle w:val="16"/>
          <w:rFonts w:ascii="仿宋" w:hAnsi="仿宋" w:eastAsia="仿宋"/>
          <w:bCs/>
          <w:sz w:val="32"/>
          <w:szCs w:val="32"/>
        </w:rPr>
        <w:t>***</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ascii="仿宋" w:hAnsi="仿宋" w:eastAsia="仿宋"/>
          <w:b w:val="0"/>
          <w:bCs/>
          <w:sz w:val="32"/>
          <w:szCs w:val="32"/>
        </w:rPr>
        <w:t>**</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5.</w:t>
      </w:r>
      <w:r>
        <w:rPr>
          <w:rStyle w:val="16"/>
          <w:rFonts w:hint="eastAsia" w:ascii="仿宋" w:hAnsi="仿宋" w:eastAsia="仿宋"/>
          <w:bCs/>
          <w:sz w:val="32"/>
          <w:szCs w:val="32"/>
        </w:rPr>
        <w:t>社会保障和就业（类）</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05 06 09</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261.63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6.</w:t>
      </w:r>
      <w:r>
        <w:rPr>
          <w:rFonts w:hint="eastAsia" w:ascii="仿宋" w:hAnsi="仿宋" w:eastAsia="仿宋"/>
          <w:b/>
          <w:bCs/>
          <w:sz w:val="32"/>
          <w:szCs w:val="32"/>
        </w:rPr>
        <w:t>卫生健康</w:t>
      </w:r>
      <w:r>
        <w:rPr>
          <w:rStyle w:val="16"/>
          <w:rFonts w:hint="eastAsia" w:ascii="仿宋" w:hAnsi="仿宋" w:eastAsia="仿宋"/>
          <w:bCs/>
          <w:sz w:val="32"/>
          <w:szCs w:val="32"/>
        </w:rPr>
        <w:t>（类）</w:t>
      </w:r>
      <w:r>
        <w:rPr>
          <w:rStyle w:val="16"/>
          <w:rFonts w:hint="eastAsia" w:ascii="仿宋" w:hAnsi="仿宋" w:eastAsia="仿宋"/>
          <w:bCs/>
          <w:sz w:val="32"/>
          <w:szCs w:val="32"/>
          <w:lang w:val="en-US" w:eastAsia="zh-CN"/>
        </w:rPr>
        <w:t>11</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02 03</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122.95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2" w:firstLineChars="200"/>
        <w:rPr>
          <w:rFonts w:ascii="仿宋" w:hAnsi="仿宋" w:eastAsia="仿宋"/>
          <w:b/>
          <w:sz w:val="32"/>
          <w:szCs w:val="32"/>
        </w:rPr>
      </w:pPr>
      <w:r>
        <w:rPr>
          <w:rStyle w:val="16"/>
          <w:rFonts w:hint="eastAsia" w:ascii="仿宋" w:hAnsi="仿宋" w:eastAsia="仿宋"/>
          <w:bCs/>
          <w:sz w:val="32"/>
          <w:szCs w:val="32"/>
          <w:lang w:val="en-US" w:eastAsia="zh-CN"/>
        </w:rPr>
        <w:t>7</w:t>
      </w:r>
      <w:r>
        <w:rPr>
          <w:rStyle w:val="16"/>
          <w:rFonts w:ascii="仿宋" w:hAnsi="仿宋" w:eastAsia="仿宋"/>
          <w:bCs/>
          <w:sz w:val="32"/>
          <w:szCs w:val="32"/>
        </w:rPr>
        <w:t>.</w:t>
      </w:r>
      <w:r>
        <w:rPr>
          <w:rFonts w:hint="eastAsia" w:ascii="仿宋" w:hAnsi="仿宋" w:eastAsia="仿宋"/>
          <w:b/>
          <w:bCs/>
          <w:sz w:val="32"/>
          <w:szCs w:val="32"/>
          <w:lang w:val="en-US" w:eastAsia="zh-CN"/>
        </w:rPr>
        <w:t>住房保障</w:t>
      </w:r>
      <w:r>
        <w:rPr>
          <w:rStyle w:val="16"/>
          <w:rFonts w:hint="eastAsia" w:ascii="仿宋" w:hAnsi="仿宋" w:eastAsia="仿宋"/>
          <w:bCs/>
          <w:sz w:val="32"/>
          <w:szCs w:val="32"/>
        </w:rPr>
        <w:t>（类）</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151.25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2" w:firstLineChars="200"/>
        <w:rPr>
          <w:rFonts w:ascii="仿宋" w:hAnsi="仿宋" w:eastAsia="仿宋"/>
          <w:b/>
          <w:sz w:val="32"/>
          <w:szCs w:val="32"/>
        </w:rPr>
      </w:pPr>
      <w:r>
        <w:rPr>
          <w:rStyle w:val="16"/>
          <w:rFonts w:hint="eastAsia" w:ascii="仿宋" w:hAnsi="仿宋" w:eastAsia="仿宋"/>
          <w:bCs/>
          <w:sz w:val="32"/>
          <w:szCs w:val="32"/>
          <w:lang w:val="en-US" w:eastAsia="zh-CN"/>
        </w:rPr>
        <w:t>9</w:t>
      </w:r>
      <w:r>
        <w:rPr>
          <w:rStyle w:val="16"/>
          <w:rFonts w:ascii="仿宋" w:hAnsi="仿宋" w:eastAsia="仿宋"/>
          <w:bCs/>
          <w:sz w:val="32"/>
          <w:szCs w:val="32"/>
        </w:rPr>
        <w:t>.</w:t>
      </w:r>
      <w:r>
        <w:rPr>
          <w:rFonts w:hint="eastAsia" w:ascii="仿宋" w:hAnsi="仿宋" w:eastAsia="仿宋"/>
          <w:b/>
          <w:bCs/>
          <w:sz w:val="32"/>
          <w:szCs w:val="32"/>
        </w:rPr>
        <w:t>灾害防治及应急管理</w:t>
      </w:r>
      <w:r>
        <w:rPr>
          <w:rStyle w:val="16"/>
          <w:rFonts w:hint="eastAsia" w:ascii="仿宋" w:hAnsi="仿宋" w:eastAsia="仿宋"/>
          <w:bCs/>
          <w:sz w:val="32"/>
          <w:szCs w:val="32"/>
        </w:rPr>
        <w:t>（类）</w:t>
      </w:r>
      <w:r>
        <w:rPr>
          <w:rStyle w:val="16"/>
          <w:rFonts w:hint="eastAsia" w:ascii="仿宋" w:hAnsi="仿宋" w:eastAsia="仿宋"/>
          <w:bCs/>
          <w:sz w:val="32"/>
          <w:szCs w:val="32"/>
          <w:lang w:val="en-US" w:eastAsia="zh-CN"/>
        </w:rPr>
        <w:t>07</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04 09</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234.71</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，决算数小于</w:t>
      </w:r>
      <w:r>
        <w:rPr>
          <w:rStyle w:val="16"/>
          <w:rFonts w:ascii="仿宋" w:hAnsi="仿宋" w:eastAsia="仿宋"/>
          <w:b w:val="0"/>
          <w:bCs/>
          <w:sz w:val="32"/>
          <w:szCs w:val="32"/>
        </w:rPr>
        <w:t>/</w:t>
      </w:r>
      <w:r>
        <w:rPr>
          <w:rStyle w:val="16"/>
          <w:rFonts w:hint="eastAsia" w:ascii="仿宋" w:hAnsi="仿宋" w:eastAsia="仿宋"/>
          <w:b w:val="0"/>
          <w:bCs/>
          <w:sz w:val="32"/>
          <w:szCs w:val="32"/>
        </w:rPr>
        <w:t>等于预算数的主要原因是…。</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2588.1</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2313.69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274.41</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2.34</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与2022年持平</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2.34</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w:t>
      </w:r>
      <w:r>
        <w:rPr>
          <w:rFonts w:hint="eastAsia" w:ascii="仿宋_GB2312" w:eastAsia="仿宋_GB2312"/>
          <w:sz w:val="32"/>
          <w:szCs w:val="32"/>
        </w:rPr>
        <w:t>。主要原因是……。</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开支内容包括：…（团组名称、出访地点、取得成效）等。</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2.34</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w:t>
      </w:r>
      <w:r>
        <w:rPr>
          <w:rFonts w:hint="eastAsia" w:ascii="仿宋_GB2312" w:eastAsia="仿宋_GB2312"/>
          <w:sz w:val="32"/>
          <w:szCs w:val="32"/>
        </w:rPr>
        <w:t>辆，其中：轿车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万元，越野车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万元，载客汽车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万元，主要用于…。截至2023年</w:t>
      </w:r>
      <w:r>
        <w:rPr>
          <w:rFonts w:ascii="仿宋_GB2312" w:eastAsia="仿宋_GB2312"/>
          <w:sz w:val="32"/>
          <w:szCs w:val="32"/>
        </w:rPr>
        <w:t>12</w:t>
      </w:r>
      <w:r>
        <w:rPr>
          <w:rFonts w:hint="eastAsia" w:ascii="仿宋_GB2312" w:eastAsia="仿宋_GB2312"/>
          <w:sz w:val="32"/>
          <w:szCs w:val="32"/>
        </w:rPr>
        <w:t>月31日，单位共有公务用车</w:t>
      </w:r>
      <w:r>
        <w:rPr>
          <w:rFonts w:ascii="仿宋_GB2312" w:eastAsia="仿宋_GB2312"/>
          <w:sz w:val="32"/>
          <w:szCs w:val="32"/>
        </w:rPr>
        <w:t>**</w:t>
      </w:r>
      <w:r>
        <w:rPr>
          <w:rFonts w:hint="eastAsia" w:ascii="仿宋_GB2312" w:eastAsia="仿宋_GB2312"/>
          <w:sz w:val="32"/>
          <w:szCs w:val="32"/>
        </w:rPr>
        <w:t>辆，其中：轿车</w:t>
      </w:r>
      <w:r>
        <w:rPr>
          <w:rFonts w:ascii="仿宋_GB2312" w:eastAsia="仿宋_GB2312"/>
          <w:sz w:val="32"/>
          <w:szCs w:val="32"/>
        </w:rPr>
        <w:t>**</w:t>
      </w:r>
      <w:r>
        <w:rPr>
          <w:rFonts w:hint="eastAsia" w:ascii="仿宋_GB2312" w:eastAsia="仿宋_GB2312"/>
          <w:sz w:val="32"/>
          <w:szCs w:val="32"/>
        </w:rPr>
        <w:t>辆、越野车</w:t>
      </w:r>
      <w:r>
        <w:rPr>
          <w:rFonts w:ascii="仿宋_GB2312" w:eastAsia="仿宋_GB2312"/>
          <w:sz w:val="32"/>
          <w:szCs w:val="32"/>
        </w:rPr>
        <w:t>**</w:t>
      </w:r>
      <w:r>
        <w:rPr>
          <w:rFonts w:hint="eastAsia" w:ascii="仿宋_GB2312" w:eastAsia="仿宋_GB2312"/>
          <w:sz w:val="32"/>
          <w:szCs w:val="32"/>
        </w:rPr>
        <w:t>辆、载客汽车</w:t>
      </w:r>
      <w:r>
        <w:rPr>
          <w:rFonts w:ascii="仿宋_GB2312" w:eastAsia="仿宋_GB2312"/>
          <w:sz w:val="32"/>
          <w:szCs w:val="32"/>
        </w:rPr>
        <w:t>**</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2.34</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万元，主要用于……(执行公务、开展业务活动开支的交通费、住宿费、用餐费等)。国内公务接待</w:t>
      </w:r>
      <w:r>
        <w:rPr>
          <w:rFonts w:ascii="仿宋_GB2312" w:eastAsia="仿宋_GB2312"/>
          <w:sz w:val="32"/>
          <w:szCs w:val="32"/>
        </w:rPr>
        <w:t>**</w:t>
      </w:r>
      <w:r>
        <w:rPr>
          <w:rFonts w:hint="eastAsia" w:ascii="仿宋_GB2312" w:eastAsia="仿宋_GB2312"/>
          <w:sz w:val="32"/>
          <w:szCs w:val="32"/>
        </w:rPr>
        <w:t>批次，</w:t>
      </w:r>
      <w:r>
        <w:rPr>
          <w:rFonts w:ascii="仿宋_GB2312" w:eastAsia="仿宋_GB2312"/>
          <w:sz w:val="32"/>
          <w:szCs w:val="32"/>
        </w:rPr>
        <w:t>**</w:t>
      </w:r>
      <w:r>
        <w:rPr>
          <w:rFonts w:hint="eastAsia" w:ascii="仿宋_GB2312" w:eastAsia="仿宋_GB2312"/>
          <w:sz w:val="32"/>
          <w:szCs w:val="32"/>
        </w:rPr>
        <w:t>人次（不包括陪同人员），共计支出</w:t>
      </w:r>
      <w:r>
        <w:rPr>
          <w:rFonts w:ascii="仿宋_GB2312" w:eastAsia="仿宋_GB2312"/>
          <w:sz w:val="32"/>
          <w:szCs w:val="32"/>
        </w:rPr>
        <w:t>**</w:t>
      </w:r>
      <w:r>
        <w:rPr>
          <w:rFonts w:hint="eastAsia" w:ascii="仿宋_GB2312" w:eastAsia="仿宋_GB2312"/>
          <w:sz w:val="32"/>
          <w:szCs w:val="32"/>
        </w:rPr>
        <w:t>万元，具体内容包括：…（接待具体项目、金额）。</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w:t>
      </w:r>
      <w:r>
        <w:rPr>
          <w:rFonts w:ascii="仿宋_GB2312" w:eastAsia="仿宋_GB2312"/>
          <w:sz w:val="32"/>
          <w:szCs w:val="32"/>
        </w:rPr>
        <w:t>…</w:t>
      </w:r>
      <w:r>
        <w:rPr>
          <w:rFonts w:hint="eastAsia" w:ascii="仿宋_GB2312" w:eastAsia="仿宋_GB2312"/>
          <w:sz w:val="32"/>
          <w:szCs w:val="32"/>
        </w:rPr>
        <w:t>（具体项目）。外事接待</w:t>
      </w:r>
      <w:r>
        <w:rPr>
          <w:rFonts w:ascii="仿宋_GB2312" w:eastAsia="仿宋_GB2312"/>
          <w:sz w:val="32"/>
          <w:szCs w:val="32"/>
        </w:rPr>
        <w:t>**</w:t>
      </w:r>
      <w:r>
        <w:rPr>
          <w:rFonts w:hint="eastAsia" w:ascii="仿宋_GB2312" w:eastAsia="仿宋_GB2312"/>
          <w:sz w:val="32"/>
          <w:szCs w:val="32"/>
        </w:rPr>
        <w:t>批次，</w:t>
      </w:r>
      <w:r>
        <w:rPr>
          <w:rFonts w:ascii="仿宋_GB2312" w:eastAsia="仿宋_GB2312"/>
          <w:sz w:val="32"/>
          <w:szCs w:val="32"/>
        </w:rPr>
        <w:t>**</w:t>
      </w:r>
      <w:r>
        <w:rPr>
          <w:rFonts w:hint="eastAsia" w:ascii="仿宋_GB2312" w:eastAsia="仿宋_GB2312"/>
          <w:sz w:val="32"/>
          <w:szCs w:val="32"/>
        </w:rPr>
        <w:t>人次（不包括陪同人员），共计支出</w:t>
      </w:r>
      <w:r>
        <w:rPr>
          <w:rFonts w:ascii="仿宋_GB2312" w:eastAsia="仿宋_GB2312"/>
          <w:sz w:val="32"/>
          <w:szCs w:val="32"/>
        </w:rPr>
        <w:t>**</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泸县实验学校</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（或与2022年度决算数持平）。主要原因是……。</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泸县实验学校</w:t>
      </w:r>
      <w:r>
        <w:rPr>
          <w:rFonts w:hint="eastAsia" w:ascii="仿宋_GB2312" w:eastAsia="仿宋_GB2312"/>
          <w:sz w:val="32"/>
          <w:szCs w:val="32"/>
        </w:rPr>
        <w:t>政府采购支出总额</w:t>
      </w:r>
      <w:r>
        <w:rPr>
          <w:rFonts w:ascii="仿宋" w:hAnsi="仿宋" w:eastAsia="仿宋"/>
          <w:b/>
          <w:sz w:val="32"/>
          <w:szCs w:val="32"/>
        </w:rPr>
        <w:t>12.46</w:t>
      </w:r>
      <w:r>
        <w:rPr>
          <w:rFonts w:hint="eastAsia" w:ascii="仿宋_GB2312" w:eastAsia="仿宋_GB2312"/>
          <w:sz w:val="32"/>
          <w:szCs w:val="32"/>
        </w:rPr>
        <w:t>万元，其中：政府采购货物支出</w:t>
      </w:r>
      <w:r>
        <w:rPr>
          <w:rFonts w:ascii="仿宋" w:hAnsi="仿宋" w:eastAsia="仿宋"/>
          <w:b/>
          <w:sz w:val="32"/>
          <w:szCs w:val="32"/>
        </w:rPr>
        <w:t>12.46</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val="en-US" w:eastAsia="zh-CN"/>
        </w:rPr>
        <w:t>办公设备购置</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泸县实验学校</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辆，其他用车主要是用于</w:t>
      </w:r>
      <w:r>
        <w:rPr>
          <w:rFonts w:hint="eastAsia" w:ascii="仿宋_GB2312" w:eastAsia="仿宋_GB2312"/>
          <w:sz w:val="32"/>
          <w:szCs w:val="32"/>
          <w:lang w:val="en-US" w:eastAsia="zh-CN"/>
        </w:rPr>
        <w:t>学校日常公务交通</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泸县实验学校建设项目</w:t>
      </w:r>
      <w:r>
        <w:rPr>
          <w:rFonts w:hint="eastAsia" w:ascii="仿宋_GB2312" w:eastAsia="仿宋_GB2312"/>
          <w:sz w:val="32"/>
          <w:szCs w:val="32"/>
        </w:rPr>
        <w:t>等</w:t>
      </w:r>
      <w:r>
        <w:rPr>
          <w:rFonts w:hint="eastAsia" w:ascii="仿宋_GB2312" w:eastAsia="仿宋_GB2312"/>
          <w:sz w:val="32"/>
          <w:szCs w:val="32"/>
          <w:lang w:val="en-US" w:eastAsia="zh-CN"/>
        </w:rPr>
        <w:t>5</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5</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5</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5</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s="黑体"/>
          <w:color w:val="auto"/>
          <w:sz w:val="32"/>
          <w:szCs w:val="32"/>
        </w:rPr>
      </w:pPr>
    </w:p>
    <w:p>
      <w:pPr>
        <w:ind w:firstLine="642"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13"/>
        <w:spacing w:line="560" w:lineRule="exact"/>
        <w:ind w:left="0" w:leftChars="0" w:firstLine="640"/>
        <w:rPr>
          <w:sz w:val="32"/>
        </w:rPr>
      </w:pPr>
    </w:p>
    <w:p>
      <w:pPr>
        <w:pStyle w:val="13"/>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tbl>
      <w:tblPr>
        <w:tblStyle w:val="14"/>
        <w:tblW w:w="13194" w:type="dxa"/>
        <w:tblInd w:w="0" w:type="dxa"/>
        <w:shd w:val="clear" w:color="auto" w:fill="auto"/>
        <w:tblLayout w:type="fixed"/>
        <w:tblCellMar>
          <w:top w:w="0" w:type="dxa"/>
          <w:left w:w="0" w:type="dxa"/>
          <w:bottom w:w="0" w:type="dxa"/>
          <w:right w:w="0" w:type="dxa"/>
        </w:tblCellMar>
      </w:tblPr>
      <w:tblGrid>
        <w:gridCol w:w="681"/>
        <w:gridCol w:w="3"/>
        <w:gridCol w:w="2052"/>
        <w:gridCol w:w="373"/>
        <w:gridCol w:w="1010"/>
        <w:gridCol w:w="27"/>
        <w:gridCol w:w="2221"/>
        <w:gridCol w:w="43"/>
        <w:gridCol w:w="475"/>
        <w:gridCol w:w="46"/>
        <w:gridCol w:w="952"/>
        <w:gridCol w:w="53"/>
        <w:gridCol w:w="521"/>
        <w:gridCol w:w="637"/>
        <w:gridCol w:w="454"/>
        <w:gridCol w:w="296"/>
        <w:gridCol w:w="209"/>
        <w:gridCol w:w="421"/>
        <w:gridCol w:w="35"/>
        <w:gridCol w:w="475"/>
        <w:gridCol w:w="2201"/>
        <w:gridCol w:w="9"/>
      </w:tblGrid>
      <w:tr>
        <w:tblPrEx>
          <w:shd w:val="clear" w:color="auto" w:fill="auto"/>
          <w:tblCellMar>
            <w:top w:w="0" w:type="dxa"/>
            <w:left w:w="0" w:type="dxa"/>
            <w:bottom w:w="0" w:type="dxa"/>
            <w:right w:w="0" w:type="dxa"/>
          </w:tblCellMar>
        </w:tblPrEx>
        <w:trPr>
          <w:gridAfter w:val="1"/>
          <w:wAfter w:w="9" w:type="dxa"/>
          <w:trHeight w:val="904" w:hRule="atLeast"/>
        </w:trPr>
        <w:tc>
          <w:tcPr>
            <w:tcW w:w="1318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gridAfter w:val="1"/>
          <w:wAfter w:w="9" w:type="dxa"/>
          <w:trHeight w:val="286" w:hRule="atLeast"/>
        </w:trPr>
        <w:tc>
          <w:tcPr>
            <w:tcW w:w="310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00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51052122T000004877994-代管资金</w:t>
            </w:r>
          </w:p>
        </w:tc>
      </w:tr>
      <w:tr>
        <w:tblPrEx>
          <w:shd w:val="clear" w:color="auto" w:fill="auto"/>
          <w:tblCellMar>
            <w:top w:w="0" w:type="dxa"/>
            <w:left w:w="0" w:type="dxa"/>
            <w:bottom w:w="0" w:type="dxa"/>
            <w:right w:w="0" w:type="dxa"/>
          </w:tblCellMar>
        </w:tblPrEx>
        <w:trPr>
          <w:gridAfter w:val="1"/>
          <w:wAfter w:w="9" w:type="dxa"/>
          <w:trHeight w:val="512" w:hRule="atLeast"/>
        </w:trPr>
        <w:tc>
          <w:tcPr>
            <w:tcW w:w="310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98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教育部门</w:t>
            </w:r>
          </w:p>
        </w:tc>
        <w:tc>
          <w:tcPr>
            <w:tcW w:w="75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34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泸县实验学校</w:t>
            </w:r>
          </w:p>
        </w:tc>
      </w:tr>
      <w:tr>
        <w:tblPrEx>
          <w:shd w:val="clear" w:color="auto" w:fill="auto"/>
          <w:tblCellMar>
            <w:top w:w="0" w:type="dxa"/>
            <w:left w:w="0" w:type="dxa"/>
            <w:bottom w:w="0" w:type="dxa"/>
            <w:right w:w="0" w:type="dxa"/>
          </w:tblCellMar>
        </w:tblPrEx>
        <w:trPr>
          <w:gridAfter w:val="1"/>
          <w:wAfter w:w="9" w:type="dxa"/>
          <w:trHeight w:val="286"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4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98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0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gridAfter w:val="1"/>
          <w:wAfter w:w="9" w:type="dxa"/>
          <w:trHeight w:val="7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8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保障正常教育教学运转，保障课后服务和龙城体育俱乐部的正常工作正常开展。</w:t>
            </w:r>
          </w:p>
        </w:tc>
        <w:tc>
          <w:tcPr>
            <w:tcW w:w="40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该项目已按照资金用途和范围完成计划，达到了预期目标。</w:t>
            </w:r>
          </w:p>
        </w:tc>
      </w:tr>
      <w:tr>
        <w:tblPrEx>
          <w:shd w:val="clear" w:color="auto" w:fill="auto"/>
          <w:tblCellMar>
            <w:top w:w="0" w:type="dxa"/>
            <w:left w:w="0" w:type="dxa"/>
            <w:bottom w:w="0" w:type="dxa"/>
            <w:right w:w="0" w:type="dxa"/>
          </w:tblCellMar>
        </w:tblPrEx>
        <w:trPr>
          <w:gridAfter w:val="1"/>
          <w:wAfter w:w="9" w:type="dxa"/>
          <w:trHeight w:val="51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00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9" w:type="dxa"/>
          <w:trHeight w:val="36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2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gridAfter w:val="1"/>
          <w:wAfter w:w="9" w:type="dxa"/>
          <w:trHeight w:val="34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75.00</w:t>
            </w:r>
          </w:p>
        </w:tc>
        <w:tc>
          <w:tcPr>
            <w:tcW w:w="272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2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年中调整预算数是当年代收水电费和课后服务场地设施费，用于对应项目的支出。</w:t>
            </w:r>
          </w:p>
        </w:tc>
      </w:tr>
      <w:tr>
        <w:tblPrEx>
          <w:shd w:val="clear" w:color="auto" w:fill="auto"/>
          <w:tblCellMar>
            <w:top w:w="0" w:type="dxa"/>
            <w:left w:w="0" w:type="dxa"/>
            <w:bottom w:w="0" w:type="dxa"/>
            <w:right w:w="0" w:type="dxa"/>
          </w:tblCellMar>
        </w:tblPrEx>
        <w:trPr>
          <w:gridAfter w:val="1"/>
          <w:wAfter w:w="9" w:type="dxa"/>
          <w:trHeight w:val="3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gridAfter w:val="1"/>
          <w:wAfter w:w="9" w:type="dxa"/>
          <w:trHeight w:val="40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gridAfter w:val="1"/>
          <w:wAfter w:w="9" w:type="dxa"/>
          <w:trHeight w:val="36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75.00</w:t>
            </w:r>
          </w:p>
        </w:tc>
        <w:tc>
          <w:tcPr>
            <w:tcW w:w="272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gridAfter w:val="1"/>
          <w:wAfter w:w="9" w:type="dxa"/>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2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gridAfter w:val="1"/>
          <w:wAfter w:w="9" w:type="dxa"/>
          <w:trHeight w:val="452"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2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gridAfter w:val="1"/>
          <w:wAfter w:w="9" w:type="dxa"/>
          <w:trHeight w:val="113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保证全校师生正常教育教学活动，保障2881人次学生课后服务正常进行，保障2800人次学生开展体育训练服务</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12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元/人·次</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gridAfter w:val="1"/>
          <w:wAfter w:w="9" w:type="dxa"/>
          <w:trHeight w:val="67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培养合格学生。</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12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元/人·次</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gridAfter w:val="1"/>
          <w:wAfter w:w="9" w:type="dxa"/>
          <w:trHeight w:val="67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保证各项教育教学顺利进行，无安全事故</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12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元/人·次</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gridAfter w:val="1"/>
          <w:wAfter w:w="9" w:type="dxa"/>
          <w:trHeight w:val="67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相应国家双减政策，培养全面发展学生，减轻家长负担，提高社会满意。</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12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人/户</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gridAfter w:val="1"/>
          <w:wAfter w:w="9" w:type="dxa"/>
          <w:trHeight w:val="67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让学生满意，家长放心，社会满意。</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12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元/人·次</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gridAfter w:val="1"/>
          <w:wAfter w:w="9" w:type="dxa"/>
          <w:trHeight w:val="286" w:hRule="atLeast"/>
        </w:trPr>
        <w:tc>
          <w:tcPr>
            <w:tcW w:w="984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9" w:type="dxa"/>
          <w:trHeight w:val="60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250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本项目已完成年度计划目标，资金使用规范合理，无超范围和违规支出。</w:t>
            </w:r>
          </w:p>
        </w:tc>
      </w:tr>
      <w:tr>
        <w:tblPrEx>
          <w:shd w:val="clear" w:color="auto" w:fill="auto"/>
          <w:tblCellMar>
            <w:top w:w="0" w:type="dxa"/>
            <w:left w:w="0" w:type="dxa"/>
            <w:bottom w:w="0" w:type="dxa"/>
            <w:right w:w="0" w:type="dxa"/>
          </w:tblCellMar>
        </w:tblPrEx>
        <w:trPr>
          <w:gridAfter w:val="1"/>
          <w:wAfter w:w="9" w:type="dxa"/>
          <w:trHeight w:val="57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250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本项目已完成年度计划目标，资金使用规范合理，无超范围和违规支出，无其他问题。</w:t>
            </w:r>
          </w:p>
        </w:tc>
      </w:tr>
      <w:tr>
        <w:tblPrEx>
          <w:shd w:val="clear" w:color="auto" w:fill="auto"/>
          <w:tblCellMar>
            <w:top w:w="0" w:type="dxa"/>
            <w:left w:w="0" w:type="dxa"/>
            <w:bottom w:w="0" w:type="dxa"/>
            <w:right w:w="0" w:type="dxa"/>
          </w:tblCellMar>
        </w:tblPrEx>
        <w:trPr>
          <w:gridAfter w:val="1"/>
          <w:wAfter w:w="9" w:type="dxa"/>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250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gridAfter w:val="1"/>
          <w:wAfter w:w="9" w:type="dxa"/>
          <w:trHeight w:val="286" w:hRule="atLeast"/>
        </w:trPr>
        <w:tc>
          <w:tcPr>
            <w:tcW w:w="688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项目负责人：张利平</w:t>
            </w:r>
          </w:p>
        </w:tc>
        <w:tc>
          <w:tcPr>
            <w:tcW w:w="630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财务负责人：张明桃</w:t>
            </w:r>
          </w:p>
        </w:tc>
      </w:tr>
      <w:tr>
        <w:tblPrEx>
          <w:shd w:val="clear" w:color="auto" w:fill="auto"/>
          <w:tblCellMar>
            <w:top w:w="0" w:type="dxa"/>
            <w:left w:w="0" w:type="dxa"/>
            <w:bottom w:w="0" w:type="dxa"/>
            <w:right w:w="0" w:type="dxa"/>
          </w:tblCellMar>
        </w:tblPrEx>
        <w:trPr>
          <w:gridAfter w:val="1"/>
          <w:wAfter w:w="9" w:type="dxa"/>
          <w:trHeight w:val="286"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28"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4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9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11"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0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9" w:type="dxa"/>
          <w:trHeight w:val="286" w:hRule="atLeast"/>
        </w:trPr>
        <w:tc>
          <w:tcPr>
            <w:tcW w:w="6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2428"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4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9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11"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0"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0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1319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045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51052122T000005300884-泸县实验学校建设项目</w:t>
            </w:r>
          </w:p>
        </w:tc>
      </w:tr>
      <w:tr>
        <w:tblPrEx>
          <w:shd w:val="clear" w:color="auto" w:fill="auto"/>
          <w:tblCellMar>
            <w:top w:w="0" w:type="dxa"/>
            <w:left w:w="0" w:type="dxa"/>
            <w:bottom w:w="0" w:type="dxa"/>
            <w:right w:w="0" w:type="dxa"/>
          </w:tblCellMar>
        </w:tblPrEx>
        <w:trPr>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72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教育部门</w:t>
            </w:r>
          </w:p>
        </w:tc>
        <w:tc>
          <w:tcPr>
            <w:tcW w:w="1091"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64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泸县实验学校</w:t>
            </w:r>
          </w:p>
        </w:tc>
      </w:tr>
      <w:tr>
        <w:tblPrEx>
          <w:shd w:val="clear" w:color="auto" w:fill="auto"/>
          <w:tblCellMar>
            <w:top w:w="0" w:type="dxa"/>
            <w:left w:w="0" w:type="dxa"/>
            <w:bottom w:w="0" w:type="dxa"/>
            <w:right w:w="0" w:type="dxa"/>
          </w:tblCellMar>
        </w:tblPrEx>
        <w:trPr>
          <w:trHeight w:val="286" w:hRule="atLeast"/>
        </w:trPr>
        <w:tc>
          <w:tcPr>
            <w:tcW w:w="6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72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73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900"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2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完成拆除重建项目建设并投入运行。</w:t>
            </w:r>
          </w:p>
        </w:tc>
        <w:tc>
          <w:tcPr>
            <w:tcW w:w="473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该项目已按照资金用途和范围完成计划，拆除重建项目一竣工验收并投入使用，达到了预期目标。投入使用后在校就餐学生有了专门的食堂，进一步完善辅助配套设施建设，提升了学校办学条件和形象。</w:t>
            </w:r>
          </w:p>
        </w:tc>
      </w:tr>
      <w:tr>
        <w:tblPrEx>
          <w:shd w:val="clear" w:color="auto" w:fill="auto"/>
          <w:tblCellMar>
            <w:top w:w="0" w:type="dxa"/>
            <w:left w:w="0" w:type="dxa"/>
            <w:bottom w:w="0" w:type="dxa"/>
            <w:right w:w="0" w:type="dxa"/>
          </w:tblCellMar>
        </w:tblPrEx>
        <w:trPr>
          <w:trHeight w:val="693"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045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1" w:hRule="atLeast"/>
        </w:trPr>
        <w:tc>
          <w:tcPr>
            <w:tcW w:w="6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46"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67.00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649.00</w:t>
            </w: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133.71</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20.60%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6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泸县实验学校项目建设实施过程已严格按照计划进度执行，该项目与竣工验收并投入使用。但由于施工方资料整理和进度款报批流程缓慢，导致项目款支付进度缓慢，进度款支付缓于工程施工进度。</w:t>
            </w:r>
          </w:p>
        </w:tc>
      </w:tr>
      <w:tr>
        <w:tblPrEx>
          <w:shd w:val="clear" w:color="auto" w:fill="auto"/>
          <w:tblCellMar>
            <w:top w:w="0" w:type="dxa"/>
            <w:left w:w="0" w:type="dxa"/>
            <w:bottom w:w="0" w:type="dxa"/>
            <w:right w:w="0" w:type="dxa"/>
          </w:tblCellMar>
        </w:tblPrEx>
        <w:trPr>
          <w:trHeight w:val="391"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67.00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649.00</w:t>
            </w: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133.71</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20.60%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6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07"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6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361"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6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339"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6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6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820"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完成拆除重建项目1454平方米</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1454</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平方米</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该项目与竣工验收并投入使用。施工方资料整理和进度款报批流程缓慢，导致项目款支付进度缓慢，</w:t>
            </w:r>
          </w:p>
        </w:tc>
      </w:tr>
      <w:tr>
        <w:tblPrEx>
          <w:shd w:val="clear" w:color="auto" w:fill="auto"/>
          <w:tblCellMar>
            <w:top w:w="0" w:type="dxa"/>
            <w:left w:w="0" w:type="dxa"/>
            <w:bottom w:w="0" w:type="dxa"/>
            <w:right w:w="0" w:type="dxa"/>
          </w:tblCellMar>
        </w:tblPrEx>
        <w:trPr>
          <w:trHeight w:val="820"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按设计要求和规范保质完成建设</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该项目与竣工验收并投入使用。施工方资料整理和进度款报批流程缓慢，导致项目款支付进度缓慢，</w:t>
            </w:r>
          </w:p>
        </w:tc>
      </w:tr>
      <w:tr>
        <w:tblPrEx>
          <w:shd w:val="clear" w:color="auto" w:fill="auto"/>
          <w:tblCellMar>
            <w:top w:w="0" w:type="dxa"/>
            <w:left w:w="0" w:type="dxa"/>
            <w:bottom w:w="0" w:type="dxa"/>
            <w:right w:w="0" w:type="dxa"/>
          </w:tblCellMar>
        </w:tblPrEx>
        <w:trPr>
          <w:trHeight w:val="820"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在规定工期内完成</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该项目与竣工验收并投入使用。施工方资料整理和进度款报批流程缓慢，导致项目款支付进度缓慢，</w:t>
            </w:r>
          </w:p>
        </w:tc>
      </w:tr>
      <w:tr>
        <w:tblPrEx>
          <w:shd w:val="clear" w:color="auto" w:fill="auto"/>
          <w:tblCellMar>
            <w:top w:w="0" w:type="dxa"/>
            <w:left w:w="0" w:type="dxa"/>
            <w:bottom w:w="0" w:type="dxa"/>
            <w:right w:w="0" w:type="dxa"/>
          </w:tblCellMar>
        </w:tblPrEx>
        <w:trPr>
          <w:trHeight w:val="820"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改善教育教学环境</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该项目与竣工验收并投入使用。施工方资料整理和进度款报批流程缓慢，导致项目款支付进度缓慢，</w:t>
            </w:r>
          </w:p>
        </w:tc>
      </w:tr>
      <w:tr>
        <w:tblPrEx>
          <w:shd w:val="clear" w:color="auto" w:fill="auto"/>
          <w:tblCellMar>
            <w:top w:w="0" w:type="dxa"/>
            <w:left w:w="0" w:type="dxa"/>
            <w:bottom w:w="0" w:type="dxa"/>
            <w:right w:w="0" w:type="dxa"/>
          </w:tblCellMar>
        </w:tblPrEx>
        <w:trPr>
          <w:trHeight w:val="820"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让家长和师生满意</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该项目与竣工验收并投入使用。施工方资料整理和进度款报批流程缓慢，导致项目款支付进度缓慢，</w:t>
            </w:r>
          </w:p>
        </w:tc>
      </w:tr>
      <w:tr>
        <w:tblPrEx>
          <w:shd w:val="clear" w:color="auto" w:fill="auto"/>
          <w:tblCellMar>
            <w:top w:w="0" w:type="dxa"/>
            <w:left w:w="0" w:type="dxa"/>
            <w:bottom w:w="0" w:type="dxa"/>
            <w:right w:w="0" w:type="dxa"/>
          </w:tblCellMar>
        </w:tblPrEx>
        <w:trPr>
          <w:trHeight w:val="820"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按项目计划完成</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2888</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元/米</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该项目与竣工验收并投入使用。施工方资料整理和进度款报批流程缓慢，导致项目款支付进度缓慢，</w:t>
            </w:r>
          </w:p>
        </w:tc>
      </w:tr>
      <w:tr>
        <w:tblPrEx>
          <w:shd w:val="clear" w:color="auto" w:fill="auto"/>
          <w:tblCellMar>
            <w:top w:w="0" w:type="dxa"/>
            <w:left w:w="0" w:type="dxa"/>
            <w:bottom w:w="0" w:type="dxa"/>
            <w:right w:w="0" w:type="dxa"/>
          </w:tblCellMar>
        </w:tblPrEx>
        <w:trPr>
          <w:trHeight w:val="286" w:hRule="atLeast"/>
        </w:trPr>
        <w:tc>
          <w:tcPr>
            <w:tcW w:w="954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251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该项目自我评价100分，该项目建设实施过程已严格按照计划进度执行，但由于施工方资料整理和进度款报批流程缓慢，导致项目款支付进度缓慢，进度款支付缓于工程施工进度。</w:t>
            </w:r>
          </w:p>
        </w:tc>
      </w:tr>
      <w:tr>
        <w:tblPrEx>
          <w:shd w:val="clear" w:color="auto" w:fill="auto"/>
          <w:tblCellMar>
            <w:top w:w="0" w:type="dxa"/>
            <w:left w:w="0" w:type="dxa"/>
            <w:bottom w:w="0" w:type="dxa"/>
            <w:right w:w="0" w:type="dxa"/>
          </w:tblCellMar>
        </w:tblPrEx>
        <w:trPr>
          <w:trHeight w:val="572"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251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施工方资料整理和进度款报批缓慢，</w:t>
            </w:r>
          </w:p>
        </w:tc>
      </w:tr>
      <w:tr>
        <w:tblPrEx>
          <w:shd w:val="clear" w:color="auto" w:fill="auto"/>
          <w:tblCellMar>
            <w:top w:w="0" w:type="dxa"/>
            <w:left w:w="0" w:type="dxa"/>
            <w:bottom w:w="0" w:type="dxa"/>
            <w:right w:w="0" w:type="dxa"/>
          </w:tblCellMar>
        </w:tblPrEx>
        <w:trPr>
          <w:trHeight w:val="633"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251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加强督促，按期完成施工和拨款。</w:t>
            </w:r>
          </w:p>
        </w:tc>
      </w:tr>
      <w:tr>
        <w:tblPrEx>
          <w:shd w:val="clear" w:color="auto" w:fill="auto"/>
          <w:tblCellMar>
            <w:top w:w="0" w:type="dxa"/>
            <w:left w:w="0" w:type="dxa"/>
            <w:bottom w:w="0" w:type="dxa"/>
            <w:right w:w="0" w:type="dxa"/>
          </w:tblCellMar>
        </w:tblPrEx>
        <w:trPr>
          <w:trHeight w:val="286" w:hRule="atLeast"/>
        </w:trPr>
        <w:tc>
          <w:tcPr>
            <w:tcW w:w="693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项目负责人：刘友忠</w:t>
            </w:r>
          </w:p>
        </w:tc>
        <w:tc>
          <w:tcPr>
            <w:tcW w:w="62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财务负责人：张明桃</w:t>
            </w:r>
          </w:p>
        </w:tc>
      </w:tr>
      <w:tr>
        <w:tblPrEx>
          <w:shd w:val="clear" w:color="auto" w:fill="auto"/>
          <w:tblCellMar>
            <w:top w:w="0" w:type="dxa"/>
            <w:left w:w="0" w:type="dxa"/>
            <w:bottom w:w="0" w:type="dxa"/>
            <w:right w:w="0" w:type="dxa"/>
          </w:tblCellMar>
        </w:tblPrEx>
        <w:trPr>
          <w:trHeight w:val="286" w:hRule="atLeast"/>
        </w:trPr>
        <w:tc>
          <w:tcPr>
            <w:tcW w:w="68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10"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0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85"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1319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045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51052122T000005931610-泸县实验学校生均公用经费</w:t>
            </w:r>
          </w:p>
        </w:tc>
      </w:tr>
      <w:tr>
        <w:tblPrEx>
          <w:shd w:val="clear" w:color="auto" w:fill="auto"/>
          <w:tblCellMar>
            <w:top w:w="0" w:type="dxa"/>
            <w:left w:w="0" w:type="dxa"/>
            <w:bottom w:w="0" w:type="dxa"/>
            <w:right w:w="0" w:type="dxa"/>
          </w:tblCellMar>
        </w:tblPrEx>
        <w:trPr>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72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教育部门</w:t>
            </w:r>
          </w:p>
        </w:tc>
        <w:tc>
          <w:tcPr>
            <w:tcW w:w="1091"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64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泸县实验学校</w:t>
            </w:r>
          </w:p>
        </w:tc>
      </w:tr>
      <w:tr>
        <w:tblPrEx>
          <w:shd w:val="clear" w:color="auto" w:fill="auto"/>
          <w:tblCellMar>
            <w:top w:w="0" w:type="dxa"/>
            <w:left w:w="0" w:type="dxa"/>
            <w:bottom w:w="0" w:type="dxa"/>
            <w:right w:w="0" w:type="dxa"/>
          </w:tblCellMar>
        </w:tblPrEx>
        <w:trPr>
          <w:trHeight w:val="286" w:hRule="atLeast"/>
        </w:trPr>
        <w:tc>
          <w:tcPr>
            <w:tcW w:w="6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72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73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2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保证学校教育教学正常运转，办好学生、家长和社会满意的教育。</w:t>
            </w:r>
          </w:p>
        </w:tc>
        <w:tc>
          <w:tcPr>
            <w:tcW w:w="473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该项目已按照资金用途和范围完成计划，保障了学校教育教学代的正常运行，进一步改善了教育教学条件，达到了预期目标。</w:t>
            </w:r>
          </w:p>
        </w:tc>
      </w:tr>
      <w:tr>
        <w:tblPrEx>
          <w:shd w:val="clear" w:color="auto" w:fill="auto"/>
          <w:tblCellMar>
            <w:top w:w="0" w:type="dxa"/>
            <w:left w:w="0" w:type="dxa"/>
            <w:bottom w:w="0" w:type="dxa"/>
            <w:right w:w="0" w:type="dxa"/>
          </w:tblCellMar>
        </w:tblPrEx>
        <w:trPr>
          <w:trHeight w:val="693"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045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1" w:hRule="atLeast"/>
        </w:trPr>
        <w:tc>
          <w:tcPr>
            <w:tcW w:w="6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46"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215.95</w:t>
            </w: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215.95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6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391"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215.95</w:t>
            </w: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215.95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6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07"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6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361"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6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339"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0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6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6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保证正常教学</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2941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高质量的教育学生，完成相应学业。</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2941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按照计划完成教学任务</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培养学生逐步成长</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2941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学生、家长和社会满意</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社会成本指标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办社会满意的教育</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954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251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本年度生均公用经费严格按照支出功能和用途使用，无违规和超范围支付。保障了学校教育教学的正常运行，进一步改善了办学条件，进一步提升了教育教学质量和学校办学影响。该项目自平100分。</w:t>
            </w:r>
          </w:p>
        </w:tc>
      </w:tr>
      <w:tr>
        <w:tblPrEx>
          <w:shd w:val="clear" w:color="auto" w:fill="auto"/>
          <w:tblCellMar>
            <w:top w:w="0" w:type="dxa"/>
            <w:left w:w="0" w:type="dxa"/>
            <w:bottom w:w="0" w:type="dxa"/>
            <w:right w:w="0" w:type="dxa"/>
          </w:tblCellMar>
        </w:tblPrEx>
        <w:trPr>
          <w:trHeight w:val="572"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251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年度生均公用经费严格按照支出功能和用途使用，无违规和超范围支付。保障了学校教育教学的正常运行，进一步改善了办学条件，进一步提升了教育教学质量和学校办学影响。不足之处在于该项目经费有限，在教育环境打造、教育设备更新等方面还受到一定限制。</w:t>
            </w:r>
          </w:p>
        </w:tc>
      </w:tr>
      <w:tr>
        <w:tblPrEx>
          <w:shd w:val="clear" w:color="auto" w:fill="auto"/>
          <w:tblCellMar>
            <w:top w:w="0" w:type="dxa"/>
            <w:left w:w="0" w:type="dxa"/>
            <w:bottom w:w="0" w:type="dxa"/>
            <w:right w:w="0" w:type="dxa"/>
          </w:tblCellMar>
        </w:tblPrEx>
        <w:trPr>
          <w:trHeight w:val="633"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251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进一步优化资金使用，明确保障范围和金额，加强绩效目标考核与评价，使有限的资金得到最大范围和最优质量的发挥。</w:t>
            </w:r>
          </w:p>
        </w:tc>
      </w:tr>
      <w:tr>
        <w:tblPrEx>
          <w:shd w:val="clear" w:color="auto" w:fill="auto"/>
          <w:tblCellMar>
            <w:top w:w="0" w:type="dxa"/>
            <w:left w:w="0" w:type="dxa"/>
            <w:bottom w:w="0" w:type="dxa"/>
            <w:right w:w="0" w:type="dxa"/>
          </w:tblCellMar>
        </w:tblPrEx>
        <w:trPr>
          <w:trHeight w:val="286" w:hRule="atLeast"/>
        </w:trPr>
        <w:tc>
          <w:tcPr>
            <w:tcW w:w="693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项目负责人：张利平</w:t>
            </w:r>
          </w:p>
        </w:tc>
        <w:tc>
          <w:tcPr>
            <w:tcW w:w="62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财务负责人：张明桃</w:t>
            </w:r>
          </w:p>
        </w:tc>
      </w:tr>
    </w:tbl>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tbl>
      <w:tblPr>
        <w:tblStyle w:val="14"/>
        <w:tblpPr w:leftFromText="180" w:rightFromText="180" w:vertAnchor="text" w:horzAnchor="page" w:tblpX="1570" w:tblpY="154"/>
        <w:tblOverlap w:val="never"/>
        <w:tblW w:w="13185" w:type="dxa"/>
        <w:tblInd w:w="0" w:type="dxa"/>
        <w:shd w:val="clear" w:color="auto" w:fill="auto"/>
        <w:tblLayout w:type="fixed"/>
        <w:tblCellMar>
          <w:top w:w="0" w:type="dxa"/>
          <w:left w:w="0" w:type="dxa"/>
          <w:bottom w:w="0" w:type="dxa"/>
          <w:right w:w="0" w:type="dxa"/>
        </w:tblCellMar>
      </w:tblPr>
      <w:tblGrid>
        <w:gridCol w:w="683"/>
        <w:gridCol w:w="2050"/>
        <w:gridCol w:w="1409"/>
        <w:gridCol w:w="2263"/>
        <w:gridCol w:w="521"/>
        <w:gridCol w:w="1005"/>
        <w:gridCol w:w="521"/>
        <w:gridCol w:w="1091"/>
        <w:gridCol w:w="505"/>
        <w:gridCol w:w="456"/>
        <w:gridCol w:w="2681"/>
      </w:tblGrid>
      <w:tr>
        <w:tblPrEx>
          <w:tblCellMar>
            <w:top w:w="0" w:type="dxa"/>
            <w:left w:w="0" w:type="dxa"/>
            <w:bottom w:w="0" w:type="dxa"/>
            <w:right w:w="0" w:type="dxa"/>
          </w:tblCellMar>
        </w:tblPrEx>
        <w:trPr>
          <w:trHeight w:val="669" w:hRule="atLeast"/>
        </w:trPr>
        <w:tc>
          <w:tcPr>
            <w:tcW w:w="131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86" w:hRule="atLeast"/>
        </w:trPr>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045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51052123T000009665200-2022年灾后恢复一般债券：泸县学校维修加固项目</w:t>
            </w:r>
          </w:p>
        </w:tc>
      </w:tr>
      <w:tr>
        <w:tblPrEx>
          <w:shd w:val="clear" w:color="auto" w:fill="auto"/>
          <w:tblCellMar>
            <w:top w:w="0" w:type="dxa"/>
            <w:left w:w="0" w:type="dxa"/>
            <w:bottom w:w="0" w:type="dxa"/>
            <w:right w:w="0" w:type="dxa"/>
          </w:tblCellMar>
        </w:tblPrEx>
        <w:trPr>
          <w:trHeight w:val="439" w:hRule="atLeast"/>
        </w:trPr>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7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教育部门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6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泸县实验学校</w:t>
            </w:r>
          </w:p>
        </w:tc>
      </w:tr>
      <w:tr>
        <w:tblPrEx>
          <w:shd w:val="clear" w:color="auto" w:fill="auto"/>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7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7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完成灾后重建项目并投入使用。</w:t>
            </w:r>
          </w:p>
        </w:tc>
        <w:tc>
          <w:tcPr>
            <w:tcW w:w="47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泸县实验学校维修加固项目建设实施过程已严格按照计划进度执行，并按照计划工期进行了竣工验收。但由于施工方资料整理和进度款报批流程缓慢，导致项目款支付进度缓慢，进度款支付缓于工程施工进度。</w:t>
            </w:r>
          </w:p>
        </w:tc>
      </w:tr>
      <w:tr>
        <w:tblPrEx>
          <w:shd w:val="clear" w:color="auto" w:fill="auto"/>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045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167.31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87.60%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泸县实验学校项目建设实施过程已严格按照计划进度执行，并按照计划工期进行了竣工验收。但由于施工方资料整理和进度款报批流程缓慢，导致项目款支付进度缓慢，进度款支付缓于工程施工进度。</w:t>
            </w:r>
          </w:p>
        </w:tc>
      </w:tr>
      <w:tr>
        <w:tblPrEx>
          <w:shd w:val="clear" w:color="auto" w:fill="auto"/>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167.31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87.60%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完成灾后重建项目建设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1454</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施工方资料整理和进度款报批流程缓慢，导致项目款支付进度缓慢。</w:t>
            </w:r>
          </w:p>
        </w:tc>
      </w:tr>
      <w:tr>
        <w:tblPrEx>
          <w:shd w:val="clear" w:color="auto" w:fill="auto"/>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严格按项目设计进行</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施工方资料整理和进度款报批流程缓慢，导致项目款支付进度缓慢。</w:t>
            </w:r>
          </w:p>
        </w:tc>
      </w:tr>
      <w:tr>
        <w:tblPrEx>
          <w:shd w:val="clear" w:color="auto" w:fill="auto"/>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按计划工期完成建设任务</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施工方资料整理和进度款报批流程缓慢，导致项目款支付进度缓慢。</w:t>
            </w:r>
          </w:p>
        </w:tc>
      </w:tr>
      <w:tr>
        <w:tblPrEx>
          <w:shd w:val="clear" w:color="auto" w:fill="auto"/>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建成后为学生提供在校就餐场所</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2941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施工方资料整理和进度款报批流程缓慢，导致项目款支付进度缓慢。</w:t>
            </w:r>
          </w:p>
        </w:tc>
      </w:tr>
      <w:tr>
        <w:tblPrEx>
          <w:shd w:val="clear" w:color="auto" w:fill="auto"/>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师生和社会满意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施工方资料整理和进度款报批流程缓慢，导致项目款支付进度缓慢。</w:t>
            </w:r>
          </w:p>
        </w:tc>
      </w:tr>
      <w:tr>
        <w:tblPrEx>
          <w:shd w:val="clear" w:color="auto" w:fill="auto"/>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按立项计划完成建设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2888</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施工方资料整理和进度款报批流程缓慢，导致项目款支付进度缓慢。</w:t>
            </w:r>
          </w:p>
        </w:tc>
      </w:tr>
      <w:tr>
        <w:tblPrEx>
          <w:shd w:val="clear" w:color="auto" w:fill="auto"/>
          <w:tblCellMar>
            <w:top w:w="0" w:type="dxa"/>
            <w:left w:w="0" w:type="dxa"/>
            <w:bottom w:w="0" w:type="dxa"/>
            <w:right w:w="0" w:type="dxa"/>
          </w:tblCellMar>
        </w:tblPrEx>
        <w:trPr>
          <w:trHeight w:val="286" w:hRule="atLeast"/>
        </w:trPr>
        <w:tc>
          <w:tcPr>
            <w:tcW w:w="954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250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该项目自我评价100分，该项目建设实施过程已严格按照计划进度执行，按期竣工验收并投入使用。但由于施工方资料整理和进度款报批流程缓慢，导致项目款支付进度缓慢，进度款支付缓于工程施工进度。</w:t>
            </w:r>
          </w:p>
        </w:tc>
      </w:tr>
      <w:tr>
        <w:tblPrEx>
          <w:shd w:val="clear" w:color="auto" w:fill="auto"/>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250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施工方资料整理和进度款报批缓慢，</w:t>
            </w:r>
          </w:p>
        </w:tc>
      </w:tr>
      <w:tr>
        <w:tblPrEx>
          <w:shd w:val="clear" w:color="auto" w:fill="auto"/>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250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加强督促，按期完成施工和拨款。</w:t>
            </w:r>
          </w:p>
        </w:tc>
      </w:tr>
      <w:tr>
        <w:tblPrEx>
          <w:shd w:val="clear" w:color="auto" w:fill="auto"/>
          <w:tblCellMar>
            <w:top w:w="0" w:type="dxa"/>
            <w:left w:w="0" w:type="dxa"/>
            <w:bottom w:w="0" w:type="dxa"/>
            <w:right w:w="0" w:type="dxa"/>
          </w:tblCellMar>
        </w:tblPrEx>
        <w:trPr>
          <w:trHeight w:val="286" w:hRule="atLeast"/>
        </w:trPr>
        <w:tc>
          <w:tcPr>
            <w:tcW w:w="69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项目负责人：刘友忠</w:t>
            </w:r>
          </w:p>
        </w:tc>
        <w:tc>
          <w:tcPr>
            <w:tcW w:w="625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财务负责人：张明桃</w:t>
            </w:r>
          </w:p>
        </w:tc>
      </w:tr>
      <w:tr>
        <w:tblPrEx>
          <w:shd w:val="clear" w:color="auto" w:fill="auto"/>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6" w:hRule="atLeast"/>
        </w:trPr>
        <w:tc>
          <w:tcPr>
            <w:tcW w:w="1318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1、报表说明:该报表查询项目信息、绩效目标信息、预算及执行情况，用于预算单位查询导出开展项目自评。</w:t>
            </w:r>
          </w:p>
        </w:tc>
      </w:tr>
      <w:tr>
        <w:tblPrEx>
          <w:shd w:val="clear" w:color="auto" w:fill="auto"/>
          <w:tblCellMar>
            <w:top w:w="0" w:type="dxa"/>
            <w:left w:w="0" w:type="dxa"/>
            <w:bottom w:w="0" w:type="dxa"/>
            <w:right w:w="0" w:type="dxa"/>
          </w:tblCellMar>
        </w:tblPrEx>
        <w:trPr>
          <w:trHeight w:val="286" w:hRule="atLeast"/>
        </w:trPr>
        <w:tc>
          <w:tcPr>
            <w:tcW w:w="1318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shd w:val="clear" w:color="auto" w:fill="auto"/>
          <w:tblCellMar>
            <w:top w:w="0" w:type="dxa"/>
            <w:left w:w="0" w:type="dxa"/>
            <w:bottom w:w="0" w:type="dxa"/>
            <w:right w:w="0" w:type="dxa"/>
          </w:tblCellMar>
        </w:tblPrEx>
        <w:trPr>
          <w:trHeight w:val="286" w:hRule="atLeast"/>
        </w:trPr>
        <w:tc>
          <w:tcPr>
            <w:tcW w:w="1318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适用地区：全省范围</w:t>
            </w:r>
          </w:p>
        </w:tc>
      </w:tr>
      <w:tr>
        <w:tblPrEx>
          <w:shd w:val="clear" w:color="auto" w:fill="auto"/>
          <w:tblCellMar>
            <w:top w:w="0" w:type="dxa"/>
            <w:left w:w="0" w:type="dxa"/>
            <w:bottom w:w="0" w:type="dxa"/>
            <w:right w:w="0" w:type="dxa"/>
          </w:tblCellMar>
        </w:tblPrEx>
        <w:trPr>
          <w:trHeight w:val="286" w:hRule="atLeast"/>
        </w:trPr>
        <w:tc>
          <w:tcPr>
            <w:tcW w:w="1318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适用用户：部门用户、单位用户</w:t>
            </w:r>
          </w:p>
        </w:tc>
      </w:tr>
    </w:tbl>
    <w:p>
      <w:pPr>
        <w:pStyle w:val="5"/>
        <w:spacing w:before="93"/>
        <w:rPr>
          <w:rFonts w:hAnsi="Calibri" w:cs="仿宋"/>
          <w:sz w:val="32"/>
          <w:szCs w:val="32"/>
        </w:rPr>
      </w:pPr>
    </w:p>
    <w:p>
      <w:pPr>
        <w:pStyle w:val="5"/>
        <w:spacing w:before="93"/>
        <w:rPr>
          <w:rFonts w:hAnsi="Calibri" w:cs="仿宋"/>
          <w:sz w:val="32"/>
          <w:szCs w:val="32"/>
        </w:rPr>
        <w:sectPr>
          <w:pgSz w:w="16838" w:h="11906" w:orient="landscape"/>
          <w:pgMar w:top="1800" w:right="1440" w:bottom="1800" w:left="1440" w:header="851" w:footer="992" w:gutter="0"/>
          <w:pgNumType w:start="1"/>
          <w:cols w:space="425" w:num="1"/>
          <w:titlePg/>
          <w:docGrid w:type="lines" w:linePitch="312" w:charSpace="0"/>
        </w:sectPr>
      </w:pPr>
    </w:p>
    <w:p>
      <w:pPr>
        <w:pStyle w:val="5"/>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3"/>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3"/>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3"/>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3"/>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3"/>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3"/>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3"/>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3"/>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3"/>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3"/>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3"/>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auto"/>
    <w:pitch w:val="default"/>
    <w:sig w:usb0="00000000" w:usb1="00000000" w:usb2="00000016" w:usb3="00000000" w:csb0="0004001F"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MzE0MzAxMWJmMzU3OGM1OTJkOTJlMzMzYjBhM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9230FDA"/>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06E36E7"/>
    <w:rsid w:val="42FF6694"/>
    <w:rsid w:val="44C138E2"/>
    <w:rsid w:val="47FD6F4C"/>
    <w:rsid w:val="48BF60AB"/>
    <w:rsid w:val="493C27E9"/>
    <w:rsid w:val="496F39ED"/>
    <w:rsid w:val="49FF41D3"/>
    <w:rsid w:val="4BE068DB"/>
    <w:rsid w:val="4BF6002B"/>
    <w:rsid w:val="4BFFC6BE"/>
    <w:rsid w:val="4ECE2238"/>
    <w:rsid w:val="4F925D65"/>
    <w:rsid w:val="51DB4B86"/>
    <w:rsid w:val="51F64DB0"/>
    <w:rsid w:val="55333C3E"/>
    <w:rsid w:val="5F67802D"/>
    <w:rsid w:val="5F7DC4F2"/>
    <w:rsid w:val="5FB36814"/>
    <w:rsid w:val="5FBB8E56"/>
    <w:rsid w:val="5FFB5535"/>
    <w:rsid w:val="63043D0B"/>
    <w:rsid w:val="64CA39A1"/>
    <w:rsid w:val="69630ADE"/>
    <w:rsid w:val="69BD5F13"/>
    <w:rsid w:val="69FB0B4B"/>
    <w:rsid w:val="6BFFE1FB"/>
    <w:rsid w:val="6C4A05C8"/>
    <w:rsid w:val="6C4B475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C71922"/>
    <w:rsid w:val="7BD5340C"/>
    <w:rsid w:val="7BFB19D2"/>
    <w:rsid w:val="7BFD1750"/>
    <w:rsid w:val="7BFDAA1B"/>
    <w:rsid w:val="7CDF9A82"/>
    <w:rsid w:val="7CFFA1BD"/>
    <w:rsid w:val="7D2E3F7A"/>
    <w:rsid w:val="7DED9490"/>
    <w:rsid w:val="7DFF4872"/>
    <w:rsid w:val="7E7487E6"/>
    <w:rsid w:val="7E7C2A54"/>
    <w:rsid w:val="7E9BBF92"/>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16699303670169"/>
          <c:y val="0.0664518173618391"/>
          <c:w val="0.731304850431603"/>
          <c:h val="0.847475195631507"/>
        </c:manualLayout>
      </c:layout>
      <c:barChart>
        <c:barDir val="col"/>
        <c:grouping val="standard"/>
        <c:varyColors val="0"/>
        <c:ser>
          <c:idx val="0"/>
          <c:order val="0"/>
          <c:tx>
            <c:strRef>
              <c:f>Sheet1!$B$2</c:f>
              <c:strCache>
                <c:ptCount val="1"/>
                <c:pt idx="0">
                  <c:v>收入</c:v>
                </c:pt>
              </c:strCache>
            </c:strRef>
          </c:tx>
          <c:invertIfNegative val="0"/>
          <c:dLbls>
            <c:delete val="1"/>
          </c:dLbls>
          <c:cat>
            <c:strRef>
              <c:f>Sheet1!$A$3:$A$4</c:f>
              <c:strCache>
                <c:ptCount val="2"/>
                <c:pt idx="0">
                  <c:v>2023年</c:v>
                </c:pt>
                <c:pt idx="1">
                  <c:v>2022年</c:v>
                </c:pt>
              </c:strCache>
            </c:strRef>
          </c:cat>
          <c:val>
            <c:numRef>
              <c:f>Sheet1!$B$3:$B$4</c:f>
              <c:numCache>
                <c:formatCode>General</c:formatCode>
                <c:ptCount val="2"/>
                <c:pt idx="0">
                  <c:v>2889.13</c:v>
                </c:pt>
                <c:pt idx="1">
                  <c:v>2956.6</c:v>
                </c:pt>
              </c:numCache>
            </c:numRef>
          </c:val>
        </c:ser>
        <c:ser>
          <c:idx val="1"/>
          <c:order val="1"/>
          <c:tx>
            <c:strRef>
              <c:f>Sheet1!$C$2</c:f>
              <c:strCache>
                <c:ptCount val="1"/>
                <c:pt idx="0">
                  <c:v>支出</c:v>
                </c:pt>
              </c:strCache>
            </c:strRef>
          </c:tx>
          <c:invertIfNegative val="0"/>
          <c:dLbls>
            <c:delete val="1"/>
          </c:dLbls>
          <c:cat>
            <c:strRef>
              <c:f>Sheet1!$A$3:$A$4</c:f>
              <c:strCache>
                <c:ptCount val="2"/>
                <c:pt idx="0">
                  <c:v>2023年</c:v>
                </c:pt>
                <c:pt idx="1">
                  <c:v>2022年</c:v>
                </c:pt>
              </c:strCache>
            </c:strRef>
          </c:cat>
          <c:val>
            <c:numRef>
              <c:f>Sheet1!$C$3:$C$4</c:f>
              <c:numCache>
                <c:formatCode>General</c:formatCode>
                <c:ptCount val="2"/>
                <c:pt idx="0">
                  <c:v>2889.13</c:v>
                </c:pt>
                <c:pt idx="1">
                  <c:v>2970.86</c:v>
                </c:pt>
              </c:numCache>
            </c:numRef>
          </c:val>
        </c:ser>
        <c:dLbls>
          <c:showLegendKey val="0"/>
          <c:showVal val="0"/>
          <c:showCatName val="0"/>
          <c:showSerName val="0"/>
          <c:showPercent val="0"/>
          <c:showBubbleSize val="0"/>
        </c:dLbls>
        <c:gapWidth val="150"/>
        <c:axId val="197996928"/>
        <c:axId val="197998464"/>
      </c:barChart>
      <c:catAx>
        <c:axId val="1979969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7998464"/>
        <c:crosses val="autoZero"/>
        <c:auto val="1"/>
        <c:lblAlgn val="ctr"/>
        <c:lblOffset val="100"/>
        <c:noMultiLvlLbl val="0"/>
      </c:catAx>
      <c:valAx>
        <c:axId val="197998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799692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预算数</c:v>
                </c:pt>
              </c:strCache>
            </c:strRef>
          </c:tx>
          <c:spPr>
            <a:solidFill>
              <a:schemeClr val="accent1"/>
            </a:solidFill>
            <a:ln>
              <a:noFill/>
            </a:ln>
            <a:effectLst/>
          </c:spPr>
          <c:invertIfNegative val="0"/>
          <c:dLbls>
            <c:delete val="1"/>
          </c:dLbls>
          <c:cat>
            <c:strRef>
              <c:f>Sheet1!$A$2:$A$3</c:f>
              <c:strCache>
                <c:ptCount val="2"/>
                <c:pt idx="0">
                  <c:v>预算数</c:v>
                </c:pt>
                <c:pt idx="1">
                  <c:v>决算数</c:v>
                </c:pt>
              </c:strCache>
            </c:strRef>
          </c:cat>
          <c:val>
            <c:numRef>
              <c:f>Sheet1!$B$2:$B$3</c:f>
              <c:numCache>
                <c:formatCode>General</c:formatCode>
                <c:ptCount val="2"/>
                <c:pt idx="0">
                  <c:v>2889.13</c:v>
                </c:pt>
              </c:numCache>
            </c:numRef>
          </c:val>
        </c:ser>
        <c:ser>
          <c:idx val="1"/>
          <c:order val="1"/>
          <c:tx>
            <c:strRef>
              <c:f>Sheet1!$C$1</c:f>
              <c:strCache>
                <c:ptCount val="1"/>
                <c:pt idx="0">
                  <c:v>决算数</c:v>
                </c:pt>
              </c:strCache>
            </c:strRef>
          </c:tx>
          <c:spPr>
            <a:solidFill>
              <a:schemeClr val="accent2"/>
            </a:solidFill>
            <a:ln>
              <a:noFill/>
            </a:ln>
            <a:effectLst/>
          </c:spPr>
          <c:invertIfNegative val="0"/>
          <c:dLbls>
            <c:delete val="1"/>
          </c:dLbls>
          <c:cat>
            <c:strRef>
              <c:f>Sheet1!$A$2:$A$3</c:f>
              <c:strCache>
                <c:ptCount val="2"/>
                <c:pt idx="0">
                  <c:v>预算数</c:v>
                </c:pt>
                <c:pt idx="1">
                  <c:v>决算数</c:v>
                </c:pt>
              </c:strCache>
            </c:strRef>
          </c:cat>
          <c:val>
            <c:numRef>
              <c:f>Sheet1!$C$2:$C$3</c:f>
              <c:numCache>
                <c:formatCode>General</c:formatCode>
                <c:ptCount val="2"/>
                <c:pt idx="1">
                  <c:v>2889.13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预算数</c:v>
                </c:pt>
                <c:pt idx="1">
                  <c:v>决算数</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415570694"/>
        <c:axId val="706627709"/>
      </c:barChart>
      <c:catAx>
        <c:axId val="4155706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6627709"/>
        <c:crosses val="autoZero"/>
        <c:auto val="1"/>
        <c:lblAlgn val="ctr"/>
        <c:lblOffset val="100"/>
        <c:noMultiLvlLbl val="0"/>
      </c:catAx>
      <c:valAx>
        <c:axId val="70662770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57069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收入来源</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elete val="1"/>
          </c:dLbls>
          <c:cat>
            <c:strRef>
              <c:f>Sheet1!$A$2:$A$8</c:f>
              <c:strCache>
                <c:ptCount val="7"/>
                <c:pt idx="0">
                  <c:v>一般公共预算财政拨款</c:v>
                </c:pt>
                <c:pt idx="1">
                  <c:v>政府性基金财政拨款</c:v>
                </c:pt>
                <c:pt idx="2">
                  <c:v>国有资本经营预算拨款</c:v>
                </c:pt>
                <c:pt idx="3">
                  <c:v>上级补助收入</c:v>
                </c:pt>
                <c:pt idx="4">
                  <c:v>事业收入</c:v>
                </c:pt>
                <c:pt idx="5">
                  <c:v>经营收入</c:v>
                </c:pt>
                <c:pt idx="6">
                  <c:v>其他收入</c:v>
                </c:pt>
              </c:strCache>
            </c:strRef>
          </c:cat>
          <c:val>
            <c:numRef>
              <c:f>Sheet1!$B$2:$B$8</c:f>
              <c:numCache>
                <c:formatCode>General</c:formatCode>
                <c:ptCount val="7"/>
                <c:pt idx="0">
                  <c:v>2889.13</c:v>
                </c:pt>
                <c:pt idx="1">
                  <c:v>0</c:v>
                </c:pt>
                <c:pt idx="2">
                  <c:v>0</c:v>
                </c:pt>
                <c:pt idx="3">
                  <c:v>0</c:v>
                </c:pt>
                <c:pt idx="4">
                  <c:v>0</c:v>
                </c:pt>
                <c:pt idx="5">
                  <c:v>0</c:v>
                </c:pt>
                <c:pt idx="6">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0591930417975356"/>
          <c:y val="0.134296642583935"/>
          <c:w val="0.792824353708625"/>
          <c:h val="0.078623034424139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283834343955619"/>
          <c:y val="0.21635687732342"/>
          <c:w val="0.704296219842601"/>
          <c:h val="0.732837670384139"/>
        </c:manualLayout>
      </c:layout>
      <c:pie3DChart>
        <c:varyColors val="1"/>
        <c:ser>
          <c:idx val="0"/>
          <c:order val="0"/>
          <c:tx>
            <c:strRef>
              <c:f>Sheet1!$B$1</c:f>
              <c:strCache>
                <c:ptCount val="1"/>
                <c:pt idx="0">
                  <c:v>基本支出</c:v>
                </c:pt>
              </c:strCache>
            </c:strRef>
          </c:tx>
          <c:explosion val="0"/>
          <c:dPt>
            <c:idx val="0"/>
            <c:bubble3D val="0"/>
            <c:explosion val="18"/>
          </c:dPt>
          <c:dPt>
            <c:idx val="1"/>
            <c:bubble3D val="0"/>
          </c:dPt>
          <c:dPt>
            <c:idx val="2"/>
            <c:bubble3D val="0"/>
          </c:dPt>
          <c:dPt>
            <c:idx val="3"/>
            <c:bubble3D val="0"/>
          </c:dPt>
          <c:dLbls>
            <c:delete val="1"/>
          </c:dLbls>
          <c:cat>
            <c:strRef>
              <c:f>Sheet1!$A$2:$A$5</c:f>
              <c:strCache>
                <c:ptCount val="4"/>
                <c:pt idx="0">
                  <c:v>2023年基本支出</c:v>
                </c:pt>
                <c:pt idx="1">
                  <c:v>2023年项目支出</c:v>
                </c:pt>
                <c:pt idx="2">
                  <c:v>上缴上级支出</c:v>
                </c:pt>
                <c:pt idx="3">
                  <c:v>经营支出</c:v>
                </c:pt>
              </c:strCache>
            </c:strRef>
          </c:cat>
          <c:val>
            <c:numRef>
              <c:f>Sheet1!$B$2:$B$5</c:f>
              <c:numCache>
                <c:formatCode>General</c:formatCode>
                <c:ptCount val="4"/>
                <c:pt idx="0">
                  <c:v>2588.1</c:v>
                </c:pt>
                <c:pt idx="1">
                  <c:v>301.03</c:v>
                </c:pt>
                <c:pt idx="2">
                  <c:v>0</c:v>
                </c:pt>
                <c:pt idx="3">
                  <c:v>0</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 </c:v>
                </c:pt>
              </c:strCache>
            </c:strRef>
          </c:tx>
          <c:spPr>
            <a:solidFill>
              <a:schemeClr val="accent1"/>
            </a:solidFill>
            <a:ln>
              <a:noFill/>
            </a:ln>
            <a:effectLst/>
          </c:spPr>
          <c:invertIfNegative val="0"/>
          <c:dLbls>
            <c:delete val="1"/>
          </c:dLbls>
          <c:cat>
            <c:strRef>
              <c:f>Sheet1!$A$2:$A$3</c:f>
              <c:strCache>
                <c:ptCount val="2"/>
                <c:pt idx="0">
                  <c:v>预算数</c:v>
                </c:pt>
                <c:pt idx="1">
                  <c:v>决算数</c:v>
                </c:pt>
              </c:strCache>
            </c:strRef>
          </c:cat>
          <c:val>
            <c:numRef>
              <c:f>Sheet1!$B$2:$B$3</c:f>
              <c:numCache>
                <c:formatCode>General</c:formatCode>
                <c:ptCount val="2"/>
                <c:pt idx="0">
                  <c:v>2889.13</c:v>
                </c:pt>
                <c:pt idx="1">
                  <c:v>2956.6</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Sheet1!$A$2:$A$3</c:f>
              <c:strCache>
                <c:ptCount val="2"/>
                <c:pt idx="0">
                  <c:v>预算数</c:v>
                </c:pt>
                <c:pt idx="1">
                  <c:v>决算数</c:v>
                </c:pt>
              </c:strCache>
            </c:strRef>
          </c:cat>
          <c:val>
            <c:numRef>
              <c:f>Sheet1!$C$2:$C$3</c:f>
              <c:numCache>
                <c:formatCode>General</c:formatCode>
                <c:ptCount val="2"/>
                <c:pt idx="0">
                  <c:v>2889.13</c:v>
                </c:pt>
                <c:pt idx="1">
                  <c:v>2956.6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预算数</c:v>
                </c:pt>
                <c:pt idx="1">
                  <c:v>决算数</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415570694"/>
        <c:axId val="706627709"/>
      </c:barChart>
      <c:catAx>
        <c:axId val="4155706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6627709"/>
        <c:crosses val="autoZero"/>
        <c:auto val="1"/>
        <c:lblAlgn val="ctr"/>
        <c:lblOffset val="100"/>
        <c:noMultiLvlLbl val="0"/>
      </c:catAx>
      <c:valAx>
        <c:axId val="70662770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57069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 </c:v>
                </c:pt>
              </c:strCache>
            </c:strRef>
          </c:tx>
          <c:spPr>
            <a:solidFill>
              <a:schemeClr val="accent1"/>
            </a:solidFill>
            <a:ln>
              <a:noFill/>
            </a:ln>
            <a:effectLst/>
          </c:spPr>
          <c:invertIfNegative val="0"/>
          <c:dLbls>
            <c:delete val="1"/>
          </c:dLbls>
          <c:cat>
            <c:strRef>
              <c:f>Sheet1!$A$2:$A$3</c:f>
              <c:strCache>
                <c:ptCount val="2"/>
                <c:pt idx="0">
                  <c:v>预算数</c:v>
                </c:pt>
                <c:pt idx="1">
                  <c:v>决算数</c:v>
                </c:pt>
              </c:strCache>
            </c:strRef>
          </c:cat>
          <c:val>
            <c:numRef>
              <c:f>Sheet1!$B$2:$B$3</c:f>
              <c:numCache>
                <c:formatCode>General</c:formatCode>
                <c:ptCount val="2"/>
                <c:pt idx="0">
                  <c:v>2889.13</c:v>
                </c:pt>
                <c:pt idx="1">
                  <c:v>2956.6</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Sheet1!$A$2:$A$3</c:f>
              <c:strCache>
                <c:ptCount val="2"/>
                <c:pt idx="0">
                  <c:v>预算数</c:v>
                </c:pt>
                <c:pt idx="1">
                  <c:v>决算数</c:v>
                </c:pt>
              </c:strCache>
            </c:strRef>
          </c:cat>
          <c:val>
            <c:numRef>
              <c:f>Sheet1!$C$2:$C$3</c:f>
              <c:numCache>
                <c:formatCode>General</c:formatCode>
                <c:ptCount val="2"/>
                <c:pt idx="0">
                  <c:v>2889.13</c:v>
                </c:pt>
                <c:pt idx="1">
                  <c:v>2956.6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预算数</c:v>
                </c:pt>
                <c:pt idx="1">
                  <c:v>决算数</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415570694"/>
        <c:axId val="706627709"/>
      </c:barChart>
      <c:catAx>
        <c:axId val="4155706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6627709"/>
        <c:crosses val="autoZero"/>
        <c:auto val="1"/>
        <c:lblAlgn val="ctr"/>
        <c:lblOffset val="100"/>
        <c:noMultiLvlLbl val="0"/>
      </c:catAx>
      <c:valAx>
        <c:axId val="70662770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57069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319046472429569"/>
          <c:y val="0.174819401444788"/>
          <c:w val="0.62822056344811"/>
          <c:h val="0.776676986584107"/>
        </c:manualLayout>
      </c:layout>
      <c:pie3DChart>
        <c:varyColors val="1"/>
        <c:ser>
          <c:idx val="0"/>
          <c:order val="0"/>
          <c:tx>
            <c:strRef>
              <c:f>Sheet1!$B$1</c:f>
              <c:strCache>
                <c:ptCount val="1"/>
                <c:pt idx="0">
                  <c:v>2023年财政支出决算结构情况</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教育支出</c:v>
                </c:pt>
                <c:pt idx="1">
                  <c:v>社会保障和就业支出</c:v>
                </c:pt>
                <c:pt idx="2">
                  <c:v>卫生健康支出</c:v>
                </c:pt>
                <c:pt idx="3">
                  <c:v>住房保障支出</c:v>
                </c:pt>
                <c:pt idx="4">
                  <c:v>应急防治及应急管理支出</c:v>
                </c:pt>
              </c:strCache>
            </c:strRef>
          </c:cat>
          <c:val>
            <c:numRef>
              <c:f>Sheet1!$B$2:$B$6</c:f>
              <c:numCache>
                <c:formatCode>General</c:formatCode>
                <c:ptCount val="5"/>
                <c:pt idx="0">
                  <c:v>2118.59</c:v>
                </c:pt>
                <c:pt idx="1">
                  <c:v>261.64</c:v>
                </c:pt>
                <c:pt idx="2">
                  <c:v>122.95</c:v>
                </c:pt>
                <c:pt idx="3">
                  <c:v>151.25</c:v>
                </c:pt>
                <c:pt idx="4">
                  <c:v>234.71</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9004</Words>
  <Characters>10128</Characters>
  <Lines>54</Lines>
  <Paragraphs>15</Paragraphs>
  <TotalTime>5</TotalTime>
  <ScaleCrop>false</ScaleCrop>
  <LinksUpToDate>false</LinksUpToDate>
  <CharactersWithSpaces>10161</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kylin</cp:lastModifiedBy>
  <cp:lastPrinted>2023-08-03T10:35:00Z</cp:lastPrinted>
  <dcterms:modified xsi:type="dcterms:W3CDTF">2024-09-27T10:24:23Z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B21B1F221F16475FB990414F5B8E729B_12</vt:lpwstr>
  </property>
</Properties>
</file>